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2D98" w14:textId="6BE17D8D" w:rsidR="00B349E0" w:rsidRDefault="00C34088" w:rsidP="00C34088">
      <w:pPr>
        <w:jc w:val="left"/>
        <w:rPr>
          <w:b/>
        </w:rPr>
      </w:pPr>
      <w:r w:rsidRPr="001D4588">
        <w:rPr>
          <w:rFonts w:ascii="Aptos" w:eastAsia="Aptos" w:hAnsi="Aptos" w:cs="Times New Roman"/>
          <w:noProof/>
        </w:rPr>
        <w:drawing>
          <wp:inline distT="0" distB="0" distL="0" distR="0" wp14:anchorId="691E7D2A" wp14:editId="51B4A27A">
            <wp:extent cx="883920" cy="304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92739">
        <w:rPr>
          <w:b/>
        </w:rPr>
        <w:t>Association des propriétaires du lac Doré</w:t>
      </w:r>
      <w:r w:rsidR="002316AC">
        <w:rPr>
          <w:b/>
        </w:rPr>
        <w:t xml:space="preserve">                  </w:t>
      </w:r>
    </w:p>
    <w:p w14:paraId="3DBDE10D" w14:textId="6F8FC62E" w:rsidR="00231EA3" w:rsidRDefault="00F92739" w:rsidP="00082B7A">
      <w:pPr>
        <w:jc w:val="center"/>
        <w:rPr>
          <w:b/>
        </w:rPr>
      </w:pPr>
      <w:r>
        <w:rPr>
          <w:b/>
        </w:rPr>
        <w:t>Rapport du responsable de l’environnement 2023-2024</w:t>
      </w:r>
    </w:p>
    <w:p w14:paraId="2A2B28EB" w14:textId="3D1EF760" w:rsidR="00231EA3" w:rsidRPr="007B08BB" w:rsidRDefault="00231EA3" w:rsidP="00231EA3">
      <w:pPr>
        <w:jc w:val="left"/>
        <w:rPr>
          <w:b/>
          <w:u w:val="single"/>
        </w:rPr>
      </w:pPr>
      <w:r w:rsidRPr="007B08BB">
        <w:rPr>
          <w:b/>
          <w:u w:val="single"/>
        </w:rPr>
        <w:t>Forum national des lacs 2023</w:t>
      </w:r>
    </w:p>
    <w:p w14:paraId="16DB983F" w14:textId="4A39CF06" w:rsidR="00231EA3" w:rsidRDefault="00231EA3" w:rsidP="007B08BB">
      <w:pPr>
        <w:rPr>
          <w:bCs/>
        </w:rPr>
      </w:pPr>
      <w:r>
        <w:rPr>
          <w:bCs/>
        </w:rPr>
        <w:t>Un évènement très important s’est tenu à Mont-Tremblant au mois de juin 2023, le Forum national des lacs. Près de 80 experts et spécialistes des lacs y ont présenté une vingtaine de conférences, sans compter les kiosques d’informations et ateliers techniques. L’APLD y a délégué deux représentants afin d’y recueillir le maximum d’informations pertinentes pour les usagers du lac Doré.</w:t>
      </w:r>
    </w:p>
    <w:p w14:paraId="680E4DE3" w14:textId="5C0FF56B" w:rsidR="00635B11" w:rsidRDefault="00231EA3" w:rsidP="007B08BB">
      <w:pPr>
        <w:rPr>
          <w:bCs/>
        </w:rPr>
      </w:pPr>
      <w:r>
        <w:rPr>
          <w:bCs/>
        </w:rPr>
        <w:t xml:space="preserve">Afin de pérenniser l’information, les représentant de l’APLD ont résumé une douzaine des conférences les plus </w:t>
      </w:r>
      <w:r w:rsidR="007B08BB">
        <w:rPr>
          <w:bCs/>
        </w:rPr>
        <w:t>intéressantes</w:t>
      </w:r>
      <w:r>
        <w:rPr>
          <w:bCs/>
        </w:rPr>
        <w:t xml:space="preserve">. Ce document est disponible sur le site WEB de l’Association sous </w:t>
      </w:r>
      <w:r w:rsidR="00635B11">
        <w:rPr>
          <w:bCs/>
        </w:rPr>
        <w:t>le titre Forum national des lacs 2023.</w:t>
      </w:r>
    </w:p>
    <w:p w14:paraId="20DF61D2" w14:textId="186A6E6A" w:rsidR="00231EA3" w:rsidRPr="00231EA3" w:rsidRDefault="00635B11" w:rsidP="007B08BB">
      <w:pPr>
        <w:rPr>
          <w:bCs/>
        </w:rPr>
      </w:pPr>
      <w:r>
        <w:rPr>
          <w:bCs/>
        </w:rPr>
        <w:t>Nous encourageons fortement nos membres à consulter ce document. Par exemple la conférence du docteur Carignan nous ap</w:t>
      </w:r>
      <w:r w:rsidR="007B08BB">
        <w:rPr>
          <w:bCs/>
        </w:rPr>
        <w:t>p</w:t>
      </w:r>
      <w:r>
        <w:rPr>
          <w:bCs/>
        </w:rPr>
        <w:t>rend que le lac Doré, bien qu’ayant de très bon</w:t>
      </w:r>
      <w:r w:rsidR="007B08BB">
        <w:rPr>
          <w:bCs/>
        </w:rPr>
        <w:t>s</w:t>
      </w:r>
      <w:r>
        <w:rPr>
          <w:bCs/>
        </w:rPr>
        <w:t xml:space="preserve"> résultats pour les concentrations de phosphore, est jugé comme très sensible aux perturbations en raison de la haute densité de population du secteur. </w:t>
      </w:r>
      <w:r w:rsidR="00231EA3">
        <w:rPr>
          <w:bCs/>
        </w:rPr>
        <w:t xml:space="preserve">   </w:t>
      </w:r>
    </w:p>
    <w:p w14:paraId="0C678E1F" w14:textId="300EF8C5" w:rsidR="008C4C98" w:rsidRDefault="008C4C98" w:rsidP="008C4C98">
      <w:r>
        <w:rPr>
          <w:b/>
          <w:u w:val="single"/>
        </w:rPr>
        <w:t>Le programme RSVL</w:t>
      </w:r>
    </w:p>
    <w:p w14:paraId="11187625" w14:textId="1D670D57" w:rsidR="0057632F" w:rsidRDefault="008C4C98" w:rsidP="008C4C98">
      <w:r>
        <w:t>Le programme du RSVL (Réseau de surveillance volontaire des lacs) émane du ministère du Développement durable, Environnement et lutte contre les changements climatiques (MDDELCC).</w:t>
      </w:r>
      <w:r w:rsidR="00051F4B">
        <w:t xml:space="preserve"> L’APLD participe </w:t>
      </w:r>
      <w:r w:rsidR="002A5578">
        <w:t>à</w:t>
      </w:r>
      <w:r w:rsidR="00051F4B">
        <w:t xml:space="preserve"> ce programme depuis plusieurs années et tous les résultats à ce jour sont disponible</w:t>
      </w:r>
      <w:r w:rsidR="00F86620">
        <w:t>s</w:t>
      </w:r>
      <w:r w:rsidR="00051F4B">
        <w:t xml:space="preserve"> sur le site du MDDELCC. </w:t>
      </w:r>
      <w:r w:rsidR="006409B2">
        <w:t xml:space="preserve"> Vous pouvez accéder au site du RSVL</w:t>
      </w:r>
      <w:r w:rsidR="00D831A4">
        <w:t xml:space="preserve"> (Relais)</w:t>
      </w:r>
      <w:r w:rsidR="00E02941">
        <w:t xml:space="preserve"> sur internet</w:t>
      </w:r>
      <w:r w:rsidR="006409B2">
        <w:t xml:space="preserve"> afin de visualiser les résultats du lac Doré qui y sont affichés</w:t>
      </w:r>
      <w:r w:rsidR="00D831A4">
        <w:t>.</w:t>
      </w:r>
      <w:r w:rsidR="006409B2">
        <w:t xml:space="preserve"> </w:t>
      </w:r>
      <w:r w:rsidR="00E02941">
        <w:t>Le numéro du lac</w:t>
      </w:r>
      <w:r w:rsidR="003D5E15">
        <w:t xml:space="preserve"> Doré</w:t>
      </w:r>
      <w:r w:rsidR="00E02941">
        <w:t xml:space="preserve"> est le 434.</w:t>
      </w:r>
      <w:r>
        <w:t xml:space="preserve"> </w:t>
      </w:r>
    </w:p>
    <w:p w14:paraId="2868264A" w14:textId="07FCA03C" w:rsidR="001C4EB4" w:rsidRDefault="00051F4B" w:rsidP="008C4C98">
      <w:r>
        <w:t>Pour l’année 202</w:t>
      </w:r>
      <w:r w:rsidR="00BD61FE">
        <w:t>3</w:t>
      </w:r>
      <w:r w:rsidR="00F86620">
        <w:t>,</w:t>
      </w:r>
      <w:r w:rsidR="008C4C98">
        <w:t xml:space="preserve"> </w:t>
      </w:r>
      <w:r>
        <w:t xml:space="preserve">les </w:t>
      </w:r>
      <w:r w:rsidR="00E829CA">
        <w:t>trois</w:t>
      </w:r>
      <w:r w:rsidR="008C4C98">
        <w:t xml:space="preserve"> séries d’échantillonnages</w:t>
      </w:r>
      <w:r>
        <w:t xml:space="preserve"> pour les coliformes et le phosphore total</w:t>
      </w:r>
      <w:r w:rsidR="008C4C98">
        <w:t xml:space="preserve"> ont été </w:t>
      </w:r>
      <w:r>
        <w:t>analysés par le laboratoire</w:t>
      </w:r>
      <w:r w:rsidR="002644B6">
        <w:t xml:space="preserve"> H2LAB de Ste-Agathe. </w:t>
      </w:r>
      <w:r w:rsidR="001C4EB4">
        <w:t xml:space="preserve">Les </w:t>
      </w:r>
      <w:r w:rsidR="00C644C4">
        <w:t>valeurs</w:t>
      </w:r>
      <w:r w:rsidR="001C4EB4">
        <w:t xml:space="preserve"> moyen</w:t>
      </w:r>
      <w:r w:rsidR="00C644C4">
        <w:t>ne</w:t>
      </w:r>
      <w:r w:rsidR="001C4EB4">
        <w:t>s pour les paramètres</w:t>
      </w:r>
      <w:r w:rsidR="00C644C4">
        <w:t xml:space="preserve"> analysés en 202</w:t>
      </w:r>
      <w:r w:rsidR="00BD61FE">
        <w:t>3</w:t>
      </w:r>
      <w:r w:rsidR="001C4EB4">
        <w:t xml:space="preserve"> sont dans la zone </w:t>
      </w:r>
      <w:r w:rsidR="00B349E0">
        <w:t>de</w:t>
      </w:r>
      <w:r w:rsidR="002644B6">
        <w:t>s</w:t>
      </w:r>
      <w:r w:rsidR="00B349E0">
        <w:t xml:space="preserve"> très bon</w:t>
      </w:r>
      <w:r w:rsidR="007B08BB">
        <w:t>s</w:t>
      </w:r>
      <w:r w:rsidR="003D5E15">
        <w:t xml:space="preserve"> à bon</w:t>
      </w:r>
      <w:r w:rsidR="007B08BB">
        <w:t>s</w:t>
      </w:r>
      <w:r w:rsidR="00B349E0">
        <w:t xml:space="preserve"> résultats</w:t>
      </w:r>
      <w:r w:rsidR="00D831A4">
        <w:t xml:space="preserve"> (voir document en annexe)</w:t>
      </w:r>
      <w:r w:rsidR="001C4EB4">
        <w:t>.</w:t>
      </w:r>
      <w:r w:rsidR="00D831A4">
        <w:t xml:space="preserve"> </w:t>
      </w:r>
    </w:p>
    <w:p w14:paraId="3767E48A" w14:textId="5098C909" w:rsidR="00626E6B" w:rsidRDefault="001C4EB4" w:rsidP="008C4C98">
      <w:r>
        <w:t>Le tableau suivant reprend les valeurs moyennes mesurées</w:t>
      </w:r>
      <w:r w:rsidR="00F86620">
        <w:t xml:space="preserve"> ces dernières années</w:t>
      </w:r>
      <w:r>
        <w:t xml:space="preserve"> par le RSVL et par le laboratoire local</w:t>
      </w:r>
      <w:r w:rsidR="00F86620">
        <w:t>.</w:t>
      </w:r>
      <w:r>
        <w:t xml:space="preserve"> </w:t>
      </w:r>
      <w:r w:rsidR="007804C8">
        <w:t xml:space="preserve"> La transparence a </w:t>
      </w:r>
      <w:r w:rsidR="00C644C4">
        <w:t xml:space="preserve">toujours </w:t>
      </w:r>
      <w:r w:rsidR="007804C8">
        <w:t>été mesuré</w:t>
      </w:r>
      <w:r w:rsidR="00F86620">
        <w:t>e</w:t>
      </w:r>
      <w:r w:rsidR="007804C8">
        <w:t xml:space="preserve"> par l’APLD.</w:t>
      </w:r>
    </w:p>
    <w:p w14:paraId="72EB91CB" w14:textId="77777777" w:rsidR="00BD61FE" w:rsidRDefault="00BD61FE" w:rsidP="008C4C98"/>
    <w:p w14:paraId="40D7E8A5" w14:textId="77777777" w:rsidR="00BD61FE" w:rsidRDefault="00BD61FE" w:rsidP="008C4C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1515"/>
        <w:gridCol w:w="1794"/>
        <w:gridCol w:w="1767"/>
        <w:gridCol w:w="1836"/>
      </w:tblGrid>
      <w:tr w:rsidR="001C4EB4" w14:paraId="56972DC6" w14:textId="77777777" w:rsidTr="00E829CA">
        <w:tc>
          <w:tcPr>
            <w:tcW w:w="1384" w:type="dxa"/>
          </w:tcPr>
          <w:p w14:paraId="60211215" w14:textId="77777777" w:rsidR="001C4EB4" w:rsidRPr="001C4EB4" w:rsidRDefault="001C4EB4" w:rsidP="001C4EB4">
            <w:pPr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390" w:type="dxa"/>
          </w:tcPr>
          <w:p w14:paraId="6FBF98C0" w14:textId="77777777" w:rsid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t>Phosphore</w:t>
            </w:r>
          </w:p>
          <w:p w14:paraId="2453F7E3" w14:textId="77777777" w:rsid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445975F0" w14:textId="77777777" w:rsidR="001C4EB4" w:rsidRP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mg/m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370E540D" w14:textId="77777777" w:rsid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Chlorophylle a</w:t>
            </w:r>
          </w:p>
          <w:p w14:paraId="3BBB44B9" w14:textId="77777777" w:rsidR="001C4EB4" w:rsidRP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mg/L</w:t>
            </w:r>
          </w:p>
        </w:tc>
        <w:tc>
          <w:tcPr>
            <w:tcW w:w="0" w:type="auto"/>
          </w:tcPr>
          <w:p w14:paraId="1A484A6C" w14:textId="77777777" w:rsid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Carbone organique</w:t>
            </w:r>
          </w:p>
          <w:p w14:paraId="625BC336" w14:textId="77777777" w:rsid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dissous</w:t>
            </w:r>
          </w:p>
          <w:p w14:paraId="755CCE5F" w14:textId="77777777" w:rsidR="001C4EB4" w:rsidRP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t>mg/L</w:t>
            </w:r>
          </w:p>
        </w:tc>
        <w:tc>
          <w:tcPr>
            <w:tcW w:w="0" w:type="auto"/>
          </w:tcPr>
          <w:p w14:paraId="046617F7" w14:textId="77777777" w:rsid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Transparence</w:t>
            </w:r>
          </w:p>
          <w:p w14:paraId="5BB1FF2C" w14:textId="77777777" w:rsidR="001C4EB4" w:rsidRPr="001C4EB4" w:rsidRDefault="001C4EB4" w:rsidP="001C4EB4">
            <w:pPr>
              <w:spacing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t>mètres</w:t>
            </w:r>
          </w:p>
        </w:tc>
      </w:tr>
      <w:tr w:rsidR="001C4EB4" w14:paraId="35BE9157" w14:textId="77777777" w:rsidTr="00E829CA">
        <w:tc>
          <w:tcPr>
            <w:tcW w:w="1384" w:type="dxa"/>
          </w:tcPr>
          <w:p w14:paraId="00C3E943" w14:textId="77777777" w:rsidR="001C4EB4" w:rsidRDefault="001C4EB4" w:rsidP="001C4EB4">
            <w:pPr>
              <w:jc w:val="left"/>
            </w:pPr>
            <w:r>
              <w:t>2007</w:t>
            </w:r>
          </w:p>
        </w:tc>
        <w:tc>
          <w:tcPr>
            <w:tcW w:w="1390" w:type="dxa"/>
          </w:tcPr>
          <w:p w14:paraId="76D86B21" w14:textId="77777777" w:rsidR="001C4EB4" w:rsidRDefault="001C4EB4" w:rsidP="001C4EB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792CF3E" w14:textId="77777777" w:rsidR="001C4EB4" w:rsidRDefault="001C4EB4" w:rsidP="001C4EB4"/>
        </w:tc>
        <w:tc>
          <w:tcPr>
            <w:tcW w:w="0" w:type="auto"/>
          </w:tcPr>
          <w:p w14:paraId="06256574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63B1C424" w14:textId="77777777" w:rsidR="001C4EB4" w:rsidRDefault="001C4EB4" w:rsidP="001C4EB4">
            <w:pPr>
              <w:jc w:val="center"/>
            </w:pPr>
          </w:p>
        </w:tc>
      </w:tr>
      <w:tr w:rsidR="001C4EB4" w14:paraId="5717402E" w14:textId="77777777" w:rsidTr="00E829CA">
        <w:tc>
          <w:tcPr>
            <w:tcW w:w="1384" w:type="dxa"/>
          </w:tcPr>
          <w:p w14:paraId="6ADA7E89" w14:textId="77777777" w:rsidR="001C4EB4" w:rsidRDefault="001C4EB4" w:rsidP="001C4EB4">
            <w:pPr>
              <w:jc w:val="left"/>
            </w:pPr>
            <w:r>
              <w:t>2008</w:t>
            </w:r>
          </w:p>
        </w:tc>
        <w:tc>
          <w:tcPr>
            <w:tcW w:w="1390" w:type="dxa"/>
          </w:tcPr>
          <w:p w14:paraId="5B3535FE" w14:textId="77777777" w:rsidR="001C4EB4" w:rsidRDefault="001C4EB4" w:rsidP="001C4EB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3654497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7F051D3C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023F7279" w14:textId="77777777" w:rsidR="001C4EB4" w:rsidRDefault="001C4EB4" w:rsidP="001C4EB4">
            <w:pPr>
              <w:jc w:val="center"/>
            </w:pPr>
          </w:p>
        </w:tc>
      </w:tr>
      <w:tr w:rsidR="001C4EB4" w14:paraId="3AFF31EA" w14:textId="77777777" w:rsidTr="00E829CA">
        <w:tc>
          <w:tcPr>
            <w:tcW w:w="1384" w:type="dxa"/>
          </w:tcPr>
          <w:p w14:paraId="320615B5" w14:textId="77777777" w:rsidR="001C4EB4" w:rsidRPr="001C4EB4" w:rsidRDefault="001C4EB4" w:rsidP="001C4EB4">
            <w:pPr>
              <w:jc w:val="left"/>
            </w:pPr>
            <w:r>
              <w:t>2009</w:t>
            </w:r>
            <w:r>
              <w:rPr>
                <w:vertAlign w:val="superscript"/>
              </w:rPr>
              <w:t>(1)</w:t>
            </w:r>
          </w:p>
        </w:tc>
        <w:tc>
          <w:tcPr>
            <w:tcW w:w="1390" w:type="dxa"/>
          </w:tcPr>
          <w:p w14:paraId="2E7B87F0" w14:textId="77777777" w:rsidR="001C4EB4" w:rsidRDefault="001C4EB4" w:rsidP="001C4EB4">
            <w:pPr>
              <w:jc w:val="center"/>
            </w:pPr>
            <w:r>
              <w:t>3,5</w:t>
            </w:r>
          </w:p>
        </w:tc>
        <w:tc>
          <w:tcPr>
            <w:tcW w:w="0" w:type="auto"/>
          </w:tcPr>
          <w:p w14:paraId="541ACB18" w14:textId="77777777" w:rsidR="001C4EB4" w:rsidRDefault="001C4EB4" w:rsidP="001C4EB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2EE2772" w14:textId="77777777" w:rsidR="001C4EB4" w:rsidRDefault="001C4EB4" w:rsidP="001C4EB4">
            <w:pPr>
              <w:jc w:val="center"/>
            </w:pPr>
            <w:r>
              <w:t>2,6</w:t>
            </w:r>
          </w:p>
        </w:tc>
        <w:tc>
          <w:tcPr>
            <w:tcW w:w="0" w:type="auto"/>
          </w:tcPr>
          <w:p w14:paraId="256BFE15" w14:textId="77777777" w:rsidR="001C4EB4" w:rsidRDefault="001C4EB4" w:rsidP="001C4EB4">
            <w:pPr>
              <w:jc w:val="center"/>
            </w:pPr>
            <w:r>
              <w:t>7,7</w:t>
            </w:r>
          </w:p>
        </w:tc>
      </w:tr>
      <w:tr w:rsidR="001C4EB4" w14:paraId="12682865" w14:textId="77777777" w:rsidTr="00E829CA">
        <w:tc>
          <w:tcPr>
            <w:tcW w:w="1384" w:type="dxa"/>
          </w:tcPr>
          <w:p w14:paraId="6B2AA004" w14:textId="77777777" w:rsidR="001C4EB4" w:rsidRDefault="001C4EB4" w:rsidP="001C4EB4">
            <w:pPr>
              <w:jc w:val="left"/>
            </w:pPr>
            <w:r>
              <w:t>2011</w:t>
            </w:r>
          </w:p>
        </w:tc>
        <w:tc>
          <w:tcPr>
            <w:tcW w:w="1390" w:type="dxa"/>
          </w:tcPr>
          <w:p w14:paraId="5D49BAA1" w14:textId="77777777" w:rsidR="001C4EB4" w:rsidRDefault="001C4EB4" w:rsidP="001C4EB4">
            <w:pPr>
              <w:jc w:val="center"/>
            </w:pPr>
            <w:r>
              <w:t>6,4</w:t>
            </w:r>
          </w:p>
        </w:tc>
        <w:tc>
          <w:tcPr>
            <w:tcW w:w="0" w:type="auto"/>
          </w:tcPr>
          <w:p w14:paraId="70899205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68B3BA5B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52012EAB" w14:textId="77777777" w:rsidR="001C4EB4" w:rsidRDefault="001C4EB4" w:rsidP="001C4EB4">
            <w:pPr>
              <w:jc w:val="center"/>
            </w:pPr>
          </w:p>
        </w:tc>
      </w:tr>
      <w:tr w:rsidR="001C4EB4" w14:paraId="0295C7BF" w14:textId="77777777" w:rsidTr="00E829CA">
        <w:tc>
          <w:tcPr>
            <w:tcW w:w="1384" w:type="dxa"/>
          </w:tcPr>
          <w:p w14:paraId="40E26F1A" w14:textId="77777777" w:rsidR="001C4EB4" w:rsidRPr="001C4EB4" w:rsidRDefault="001C4EB4" w:rsidP="001C4EB4">
            <w:pPr>
              <w:jc w:val="left"/>
            </w:pPr>
            <w:r>
              <w:t>2012</w:t>
            </w:r>
            <w:r>
              <w:rPr>
                <w:vertAlign w:val="superscript"/>
              </w:rPr>
              <w:t>(1)</w:t>
            </w:r>
          </w:p>
        </w:tc>
        <w:tc>
          <w:tcPr>
            <w:tcW w:w="1390" w:type="dxa"/>
          </w:tcPr>
          <w:p w14:paraId="49CD0C11" w14:textId="77777777" w:rsidR="001C4EB4" w:rsidRDefault="001C4EB4" w:rsidP="001C4EB4">
            <w:pPr>
              <w:jc w:val="center"/>
            </w:pPr>
            <w:r>
              <w:t>2,8</w:t>
            </w:r>
          </w:p>
        </w:tc>
        <w:tc>
          <w:tcPr>
            <w:tcW w:w="0" w:type="auto"/>
          </w:tcPr>
          <w:p w14:paraId="5A54B6ED" w14:textId="77777777" w:rsidR="001C4EB4" w:rsidRDefault="001C4EB4" w:rsidP="001C4EB4">
            <w:pPr>
              <w:jc w:val="center"/>
            </w:pPr>
            <w:r>
              <w:t>1,4</w:t>
            </w:r>
          </w:p>
        </w:tc>
        <w:tc>
          <w:tcPr>
            <w:tcW w:w="0" w:type="auto"/>
          </w:tcPr>
          <w:p w14:paraId="7EFA7843" w14:textId="77777777" w:rsidR="001C4EB4" w:rsidRDefault="001C4EB4" w:rsidP="001C4EB4">
            <w:pPr>
              <w:jc w:val="center"/>
            </w:pPr>
            <w:r>
              <w:t>2,6</w:t>
            </w:r>
          </w:p>
        </w:tc>
        <w:tc>
          <w:tcPr>
            <w:tcW w:w="0" w:type="auto"/>
          </w:tcPr>
          <w:p w14:paraId="69E49E32" w14:textId="77777777" w:rsidR="001C4EB4" w:rsidRDefault="001C4EB4" w:rsidP="001C4EB4">
            <w:pPr>
              <w:jc w:val="center"/>
            </w:pPr>
          </w:p>
        </w:tc>
      </w:tr>
      <w:tr w:rsidR="001C4EB4" w14:paraId="0E6628AD" w14:textId="77777777" w:rsidTr="00E829CA">
        <w:tc>
          <w:tcPr>
            <w:tcW w:w="1384" w:type="dxa"/>
          </w:tcPr>
          <w:p w14:paraId="471CAD39" w14:textId="77777777" w:rsidR="001C4EB4" w:rsidRDefault="001C4EB4" w:rsidP="001C4EB4">
            <w:pPr>
              <w:jc w:val="left"/>
            </w:pPr>
            <w:r>
              <w:t>2013</w:t>
            </w:r>
          </w:p>
        </w:tc>
        <w:tc>
          <w:tcPr>
            <w:tcW w:w="1390" w:type="dxa"/>
          </w:tcPr>
          <w:p w14:paraId="322E3E73" w14:textId="77777777" w:rsidR="001C4EB4" w:rsidRDefault="001C4EB4" w:rsidP="001C4EB4">
            <w:pPr>
              <w:jc w:val="center"/>
            </w:pPr>
            <w:r>
              <w:t>7,3</w:t>
            </w:r>
          </w:p>
        </w:tc>
        <w:tc>
          <w:tcPr>
            <w:tcW w:w="0" w:type="auto"/>
          </w:tcPr>
          <w:p w14:paraId="331E8AFC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35C6AAC8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21928E34" w14:textId="77777777" w:rsidR="001C4EB4" w:rsidRDefault="001C4EB4" w:rsidP="001C4EB4">
            <w:pPr>
              <w:jc w:val="center"/>
            </w:pPr>
          </w:p>
        </w:tc>
      </w:tr>
      <w:tr w:rsidR="001C4EB4" w14:paraId="00F43A4C" w14:textId="77777777" w:rsidTr="00E829CA">
        <w:tc>
          <w:tcPr>
            <w:tcW w:w="1384" w:type="dxa"/>
          </w:tcPr>
          <w:p w14:paraId="003328C7" w14:textId="77777777" w:rsidR="001C4EB4" w:rsidRDefault="001C4EB4" w:rsidP="001C4EB4">
            <w:pPr>
              <w:jc w:val="left"/>
            </w:pPr>
            <w:r>
              <w:t>2014</w:t>
            </w:r>
          </w:p>
        </w:tc>
        <w:tc>
          <w:tcPr>
            <w:tcW w:w="1390" w:type="dxa"/>
          </w:tcPr>
          <w:p w14:paraId="45B0090C" w14:textId="77777777" w:rsidR="001C4EB4" w:rsidRDefault="001C4EB4" w:rsidP="001C4EB4">
            <w:pPr>
              <w:jc w:val="center"/>
            </w:pPr>
            <w:r>
              <w:t>7,0</w:t>
            </w:r>
          </w:p>
        </w:tc>
        <w:tc>
          <w:tcPr>
            <w:tcW w:w="0" w:type="auto"/>
          </w:tcPr>
          <w:p w14:paraId="0D57F864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02E0CCD4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051E92D9" w14:textId="77777777" w:rsidR="001C4EB4" w:rsidRDefault="001C4EB4" w:rsidP="001C4EB4">
            <w:pPr>
              <w:jc w:val="center"/>
            </w:pPr>
          </w:p>
        </w:tc>
      </w:tr>
      <w:tr w:rsidR="001C4EB4" w14:paraId="1A50AB72" w14:textId="77777777" w:rsidTr="00E829CA">
        <w:tc>
          <w:tcPr>
            <w:tcW w:w="1384" w:type="dxa"/>
          </w:tcPr>
          <w:p w14:paraId="346D2734" w14:textId="77777777" w:rsidR="001C4EB4" w:rsidRPr="001C4EB4" w:rsidRDefault="001C4EB4" w:rsidP="001C4EB4">
            <w:pPr>
              <w:jc w:val="left"/>
            </w:pPr>
            <w:r>
              <w:t>2015</w:t>
            </w:r>
            <w:r>
              <w:rPr>
                <w:vertAlign w:val="superscript"/>
              </w:rPr>
              <w:t>(1)</w:t>
            </w:r>
          </w:p>
        </w:tc>
        <w:tc>
          <w:tcPr>
            <w:tcW w:w="1390" w:type="dxa"/>
          </w:tcPr>
          <w:p w14:paraId="5A85C9EA" w14:textId="77777777" w:rsidR="001C4EB4" w:rsidRDefault="001C4EB4" w:rsidP="001C4EB4">
            <w:pPr>
              <w:jc w:val="center"/>
            </w:pPr>
            <w:r>
              <w:t>3,0</w:t>
            </w:r>
          </w:p>
        </w:tc>
        <w:tc>
          <w:tcPr>
            <w:tcW w:w="0" w:type="auto"/>
          </w:tcPr>
          <w:p w14:paraId="599FF427" w14:textId="77777777" w:rsidR="001C4EB4" w:rsidRDefault="001C4EB4" w:rsidP="001C4EB4">
            <w:pPr>
              <w:jc w:val="center"/>
            </w:pPr>
            <w:r>
              <w:t>2,3</w:t>
            </w:r>
          </w:p>
        </w:tc>
        <w:tc>
          <w:tcPr>
            <w:tcW w:w="0" w:type="auto"/>
          </w:tcPr>
          <w:p w14:paraId="6866721A" w14:textId="77777777" w:rsidR="001C4EB4" w:rsidRDefault="001C4EB4" w:rsidP="001C4EB4">
            <w:pPr>
              <w:jc w:val="center"/>
            </w:pPr>
            <w:r>
              <w:t>2,2</w:t>
            </w:r>
          </w:p>
        </w:tc>
        <w:tc>
          <w:tcPr>
            <w:tcW w:w="0" w:type="auto"/>
          </w:tcPr>
          <w:p w14:paraId="3D344BE7" w14:textId="77777777" w:rsidR="001C4EB4" w:rsidRDefault="001C4EB4" w:rsidP="001C4EB4">
            <w:pPr>
              <w:jc w:val="center"/>
            </w:pPr>
            <w:r>
              <w:t>7,3</w:t>
            </w:r>
          </w:p>
        </w:tc>
      </w:tr>
      <w:tr w:rsidR="001C4EB4" w14:paraId="43BF29DE" w14:textId="77777777" w:rsidTr="00E829CA">
        <w:tc>
          <w:tcPr>
            <w:tcW w:w="1384" w:type="dxa"/>
          </w:tcPr>
          <w:p w14:paraId="23CDF5AE" w14:textId="77777777" w:rsidR="001C4EB4" w:rsidRPr="001C4EB4" w:rsidRDefault="001C4EB4" w:rsidP="001C4EB4">
            <w:pPr>
              <w:jc w:val="left"/>
            </w:pPr>
            <w:r>
              <w:t>2016</w:t>
            </w:r>
            <w:r>
              <w:rPr>
                <w:vertAlign w:val="superscript"/>
              </w:rPr>
              <w:t>(1)</w:t>
            </w:r>
          </w:p>
        </w:tc>
        <w:tc>
          <w:tcPr>
            <w:tcW w:w="1390" w:type="dxa"/>
          </w:tcPr>
          <w:p w14:paraId="2F56CFB5" w14:textId="77777777" w:rsidR="001C4EB4" w:rsidRDefault="001C4EB4" w:rsidP="001C4EB4">
            <w:pPr>
              <w:jc w:val="center"/>
            </w:pPr>
            <w:r>
              <w:t>4,6</w:t>
            </w:r>
          </w:p>
        </w:tc>
        <w:tc>
          <w:tcPr>
            <w:tcW w:w="0" w:type="auto"/>
          </w:tcPr>
          <w:p w14:paraId="306B0EC6" w14:textId="77777777" w:rsidR="001C4EB4" w:rsidRDefault="001C4EB4" w:rsidP="001C4EB4">
            <w:pPr>
              <w:jc w:val="center"/>
            </w:pPr>
            <w:r>
              <w:t>1,4</w:t>
            </w:r>
          </w:p>
        </w:tc>
        <w:tc>
          <w:tcPr>
            <w:tcW w:w="0" w:type="auto"/>
          </w:tcPr>
          <w:p w14:paraId="1622885D" w14:textId="77777777" w:rsidR="001C4EB4" w:rsidRDefault="001C4EB4" w:rsidP="001C4EB4">
            <w:pPr>
              <w:jc w:val="center"/>
            </w:pPr>
            <w:r>
              <w:t>2,2</w:t>
            </w:r>
          </w:p>
        </w:tc>
        <w:tc>
          <w:tcPr>
            <w:tcW w:w="0" w:type="auto"/>
          </w:tcPr>
          <w:p w14:paraId="45D627BC" w14:textId="77777777" w:rsidR="001C4EB4" w:rsidRDefault="001C4EB4" w:rsidP="001C4EB4">
            <w:pPr>
              <w:jc w:val="center"/>
            </w:pPr>
            <w:r>
              <w:t>7,0</w:t>
            </w:r>
          </w:p>
        </w:tc>
      </w:tr>
      <w:tr w:rsidR="001C4EB4" w14:paraId="69C3356C" w14:textId="77777777" w:rsidTr="00E829CA">
        <w:tc>
          <w:tcPr>
            <w:tcW w:w="1384" w:type="dxa"/>
          </w:tcPr>
          <w:p w14:paraId="17B609EF" w14:textId="77777777" w:rsidR="001C4EB4" w:rsidRDefault="001C4EB4" w:rsidP="001C4EB4">
            <w:pPr>
              <w:jc w:val="left"/>
            </w:pPr>
            <w:r>
              <w:t>2017</w:t>
            </w:r>
          </w:p>
        </w:tc>
        <w:tc>
          <w:tcPr>
            <w:tcW w:w="1390" w:type="dxa"/>
          </w:tcPr>
          <w:p w14:paraId="3DA7D8F6" w14:textId="77777777" w:rsidR="001C4EB4" w:rsidRDefault="001C4EB4" w:rsidP="001C4EB4">
            <w:pPr>
              <w:jc w:val="center"/>
            </w:pPr>
            <w:r>
              <w:t>1,4</w:t>
            </w:r>
          </w:p>
        </w:tc>
        <w:tc>
          <w:tcPr>
            <w:tcW w:w="0" w:type="auto"/>
          </w:tcPr>
          <w:p w14:paraId="6B3B259D" w14:textId="77777777" w:rsidR="001C4EB4" w:rsidRDefault="001C4EB4" w:rsidP="001C4EB4">
            <w:pPr>
              <w:jc w:val="center"/>
            </w:pPr>
            <w:r>
              <w:t>1,6</w:t>
            </w:r>
          </w:p>
        </w:tc>
        <w:tc>
          <w:tcPr>
            <w:tcW w:w="0" w:type="auto"/>
          </w:tcPr>
          <w:p w14:paraId="571EE67A" w14:textId="77777777" w:rsidR="001C4EB4" w:rsidRDefault="001C4EB4" w:rsidP="001C4EB4">
            <w:pPr>
              <w:jc w:val="center"/>
            </w:pPr>
            <w:r>
              <w:t>2,1</w:t>
            </w:r>
          </w:p>
        </w:tc>
        <w:tc>
          <w:tcPr>
            <w:tcW w:w="0" w:type="auto"/>
          </w:tcPr>
          <w:p w14:paraId="577CCCA2" w14:textId="77777777" w:rsidR="001C4EB4" w:rsidRDefault="001C4EB4" w:rsidP="001C4EB4">
            <w:pPr>
              <w:jc w:val="center"/>
            </w:pPr>
            <w:r>
              <w:t>6,1</w:t>
            </w:r>
          </w:p>
        </w:tc>
      </w:tr>
      <w:tr w:rsidR="007804C8" w14:paraId="40550CDA" w14:textId="77777777" w:rsidTr="00E829CA">
        <w:tc>
          <w:tcPr>
            <w:tcW w:w="1384" w:type="dxa"/>
          </w:tcPr>
          <w:p w14:paraId="30B9E869" w14:textId="71D27442" w:rsidR="007804C8" w:rsidRDefault="007804C8" w:rsidP="001C4EB4">
            <w:pPr>
              <w:jc w:val="left"/>
            </w:pPr>
            <w:r>
              <w:t>2018</w:t>
            </w:r>
          </w:p>
        </w:tc>
        <w:tc>
          <w:tcPr>
            <w:tcW w:w="1390" w:type="dxa"/>
          </w:tcPr>
          <w:p w14:paraId="6715C927" w14:textId="16786EB9" w:rsidR="007804C8" w:rsidRDefault="007804C8" w:rsidP="001C4EB4">
            <w:pPr>
              <w:jc w:val="center"/>
            </w:pPr>
            <w:r>
              <w:t>5,5</w:t>
            </w:r>
          </w:p>
        </w:tc>
        <w:tc>
          <w:tcPr>
            <w:tcW w:w="0" w:type="auto"/>
          </w:tcPr>
          <w:p w14:paraId="49D2C22C" w14:textId="016A5E30" w:rsidR="007804C8" w:rsidRDefault="007804C8" w:rsidP="001C4EB4">
            <w:pPr>
              <w:jc w:val="center"/>
            </w:pPr>
            <w:r>
              <w:t>1,2</w:t>
            </w:r>
          </w:p>
        </w:tc>
        <w:tc>
          <w:tcPr>
            <w:tcW w:w="0" w:type="auto"/>
          </w:tcPr>
          <w:p w14:paraId="356FE621" w14:textId="04AC7D8C" w:rsidR="007804C8" w:rsidRDefault="007804C8" w:rsidP="001C4EB4">
            <w:pPr>
              <w:jc w:val="center"/>
            </w:pPr>
            <w:r>
              <w:t>2,1</w:t>
            </w:r>
          </w:p>
        </w:tc>
        <w:tc>
          <w:tcPr>
            <w:tcW w:w="0" w:type="auto"/>
          </w:tcPr>
          <w:p w14:paraId="20DC5928" w14:textId="385C657C" w:rsidR="007804C8" w:rsidRDefault="007804C8" w:rsidP="001C4EB4">
            <w:pPr>
              <w:jc w:val="center"/>
            </w:pPr>
            <w:r>
              <w:t>7,1</w:t>
            </w:r>
          </w:p>
        </w:tc>
      </w:tr>
      <w:tr w:rsidR="002644B6" w14:paraId="2211BC14" w14:textId="77777777" w:rsidTr="00E829CA">
        <w:tc>
          <w:tcPr>
            <w:tcW w:w="1384" w:type="dxa"/>
          </w:tcPr>
          <w:p w14:paraId="08D232F0" w14:textId="5224F583" w:rsidR="002644B6" w:rsidRDefault="002644B6" w:rsidP="001C4EB4">
            <w:pPr>
              <w:jc w:val="left"/>
            </w:pPr>
            <w:r>
              <w:t>2019</w:t>
            </w:r>
          </w:p>
        </w:tc>
        <w:tc>
          <w:tcPr>
            <w:tcW w:w="1390" w:type="dxa"/>
          </w:tcPr>
          <w:p w14:paraId="02F8DF15" w14:textId="15D90908" w:rsidR="002644B6" w:rsidRDefault="002644B6" w:rsidP="001C4EB4">
            <w:pPr>
              <w:jc w:val="center"/>
            </w:pPr>
            <w:r>
              <w:t>5,6</w:t>
            </w:r>
          </w:p>
        </w:tc>
        <w:tc>
          <w:tcPr>
            <w:tcW w:w="0" w:type="auto"/>
          </w:tcPr>
          <w:p w14:paraId="2092DD75" w14:textId="5775A420" w:rsidR="002644B6" w:rsidRDefault="002644B6" w:rsidP="001C4EB4">
            <w:pPr>
              <w:jc w:val="center"/>
            </w:pPr>
            <w:r>
              <w:t>1,8</w:t>
            </w:r>
          </w:p>
        </w:tc>
        <w:tc>
          <w:tcPr>
            <w:tcW w:w="0" w:type="auto"/>
          </w:tcPr>
          <w:p w14:paraId="3D468728" w14:textId="4CF83BC2" w:rsidR="002644B6" w:rsidRDefault="002644B6" w:rsidP="001C4EB4">
            <w:pPr>
              <w:jc w:val="center"/>
            </w:pPr>
            <w:r>
              <w:t>2,1</w:t>
            </w:r>
          </w:p>
        </w:tc>
        <w:tc>
          <w:tcPr>
            <w:tcW w:w="0" w:type="auto"/>
          </w:tcPr>
          <w:p w14:paraId="55BBD61B" w14:textId="30558C80" w:rsidR="002644B6" w:rsidRDefault="002644B6" w:rsidP="001C4EB4">
            <w:pPr>
              <w:jc w:val="center"/>
            </w:pPr>
            <w:r>
              <w:t>6,6</w:t>
            </w:r>
          </w:p>
        </w:tc>
      </w:tr>
      <w:tr w:rsidR="00C644C4" w14:paraId="718BB103" w14:textId="77777777" w:rsidTr="00E829CA">
        <w:tc>
          <w:tcPr>
            <w:tcW w:w="1384" w:type="dxa"/>
          </w:tcPr>
          <w:p w14:paraId="2887BCD3" w14:textId="357F12CF" w:rsidR="00C644C4" w:rsidRDefault="00C644C4" w:rsidP="001C4EB4">
            <w:pPr>
              <w:jc w:val="left"/>
            </w:pPr>
            <w:r>
              <w:t>2020</w:t>
            </w:r>
          </w:p>
        </w:tc>
        <w:tc>
          <w:tcPr>
            <w:tcW w:w="1390" w:type="dxa"/>
          </w:tcPr>
          <w:p w14:paraId="7A63C264" w14:textId="2F661F92" w:rsidR="00C644C4" w:rsidRDefault="00C644C4" w:rsidP="001C4EB4">
            <w:pPr>
              <w:jc w:val="center"/>
            </w:pPr>
            <w:r>
              <w:t>5,5</w:t>
            </w:r>
          </w:p>
        </w:tc>
        <w:tc>
          <w:tcPr>
            <w:tcW w:w="0" w:type="auto"/>
          </w:tcPr>
          <w:p w14:paraId="60256B11" w14:textId="7BD6007F" w:rsidR="00C644C4" w:rsidRDefault="00C644C4" w:rsidP="001C4EB4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16894505" w14:textId="5BDE0DE2" w:rsidR="00C644C4" w:rsidRDefault="00C644C4" w:rsidP="001C4EB4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2B297C20" w14:textId="6E11F631" w:rsidR="00C644C4" w:rsidRDefault="00C644C4" w:rsidP="001C4EB4">
            <w:pPr>
              <w:jc w:val="center"/>
            </w:pPr>
            <w:r>
              <w:t>7,1</w:t>
            </w:r>
          </w:p>
        </w:tc>
      </w:tr>
      <w:tr w:rsidR="00E87B20" w14:paraId="5D20D5E0" w14:textId="77777777" w:rsidTr="00E829CA">
        <w:tc>
          <w:tcPr>
            <w:tcW w:w="1384" w:type="dxa"/>
          </w:tcPr>
          <w:p w14:paraId="0CEF50FF" w14:textId="3EC9D527" w:rsidR="00E87B20" w:rsidRDefault="00E87B20" w:rsidP="001C4EB4">
            <w:pPr>
              <w:jc w:val="left"/>
            </w:pPr>
            <w:r>
              <w:t>2021</w:t>
            </w:r>
          </w:p>
        </w:tc>
        <w:tc>
          <w:tcPr>
            <w:tcW w:w="1390" w:type="dxa"/>
          </w:tcPr>
          <w:p w14:paraId="5402F6F7" w14:textId="569818B6" w:rsidR="00E87B20" w:rsidRDefault="00006D6B" w:rsidP="001C4EB4">
            <w:pPr>
              <w:jc w:val="center"/>
            </w:pPr>
            <w:r>
              <w:t>6,2</w:t>
            </w:r>
          </w:p>
        </w:tc>
        <w:tc>
          <w:tcPr>
            <w:tcW w:w="0" w:type="auto"/>
          </w:tcPr>
          <w:p w14:paraId="10C941A4" w14:textId="600320DE" w:rsidR="00E87B20" w:rsidRDefault="00E87B20" w:rsidP="001C4EB4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13E7F73D" w14:textId="7310CD78" w:rsidR="00E87B20" w:rsidRDefault="00E87B20" w:rsidP="001C4EB4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45049DA6" w14:textId="7C8A0292" w:rsidR="00E87B20" w:rsidRDefault="00006D6B" w:rsidP="001C4EB4">
            <w:pPr>
              <w:jc w:val="center"/>
            </w:pPr>
            <w:r>
              <w:t>7,2</w:t>
            </w:r>
          </w:p>
        </w:tc>
      </w:tr>
      <w:tr w:rsidR="003D5E15" w14:paraId="4DFDA29B" w14:textId="77777777" w:rsidTr="00E829CA">
        <w:tc>
          <w:tcPr>
            <w:tcW w:w="1384" w:type="dxa"/>
          </w:tcPr>
          <w:p w14:paraId="7279DD55" w14:textId="03BE4CA2" w:rsidR="003D5E15" w:rsidRDefault="003D5E15" w:rsidP="001C4EB4">
            <w:pPr>
              <w:jc w:val="left"/>
            </w:pPr>
            <w:r>
              <w:t>2022</w:t>
            </w:r>
          </w:p>
        </w:tc>
        <w:tc>
          <w:tcPr>
            <w:tcW w:w="1390" w:type="dxa"/>
          </w:tcPr>
          <w:p w14:paraId="482CF5BF" w14:textId="202E8D3B" w:rsidR="003D5E15" w:rsidRDefault="003D5E15" w:rsidP="001C4EB4">
            <w:pPr>
              <w:jc w:val="center"/>
            </w:pPr>
            <w:r>
              <w:t>5,6</w:t>
            </w:r>
          </w:p>
        </w:tc>
        <w:tc>
          <w:tcPr>
            <w:tcW w:w="0" w:type="auto"/>
          </w:tcPr>
          <w:p w14:paraId="7FDC8191" w14:textId="34ECCCD4" w:rsidR="003D5E15" w:rsidRDefault="003D5E15" w:rsidP="001C4EB4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49638811" w14:textId="7B7AA3EC" w:rsidR="003D5E15" w:rsidRDefault="003D5E15" w:rsidP="001C4EB4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0A67DFB4" w14:textId="76D71BD4" w:rsidR="003D5E15" w:rsidRDefault="003D5E15" w:rsidP="001C4EB4">
            <w:pPr>
              <w:jc w:val="center"/>
            </w:pPr>
            <w:r>
              <w:t>5,6</w:t>
            </w:r>
          </w:p>
        </w:tc>
      </w:tr>
      <w:tr w:rsidR="00BD61FE" w14:paraId="63EADDFA" w14:textId="77777777" w:rsidTr="00E829CA">
        <w:tc>
          <w:tcPr>
            <w:tcW w:w="1384" w:type="dxa"/>
          </w:tcPr>
          <w:p w14:paraId="194667BB" w14:textId="685CD5BE" w:rsidR="00BD61FE" w:rsidRDefault="00BD61FE" w:rsidP="001C4EB4">
            <w:pPr>
              <w:jc w:val="left"/>
            </w:pPr>
            <w:r>
              <w:t>2023</w:t>
            </w:r>
          </w:p>
        </w:tc>
        <w:tc>
          <w:tcPr>
            <w:tcW w:w="1390" w:type="dxa"/>
          </w:tcPr>
          <w:p w14:paraId="3D062862" w14:textId="44AC6757" w:rsidR="00BD61FE" w:rsidRDefault="00BD61FE" w:rsidP="001C4EB4">
            <w:pPr>
              <w:jc w:val="center"/>
            </w:pPr>
            <w:r>
              <w:t>6,0</w:t>
            </w:r>
          </w:p>
        </w:tc>
        <w:tc>
          <w:tcPr>
            <w:tcW w:w="0" w:type="auto"/>
          </w:tcPr>
          <w:p w14:paraId="3047FAF7" w14:textId="25056081" w:rsidR="00BD61FE" w:rsidRDefault="00BD61FE" w:rsidP="001C4EB4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54739485" w14:textId="5A53FDEB" w:rsidR="00BD61FE" w:rsidRDefault="00BD61FE" w:rsidP="001C4EB4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71159465" w14:textId="70E3F7B2" w:rsidR="00BD61FE" w:rsidRDefault="00BD61FE" w:rsidP="001C4EB4">
            <w:pPr>
              <w:jc w:val="center"/>
            </w:pPr>
            <w:r>
              <w:t>6,5</w:t>
            </w:r>
          </w:p>
        </w:tc>
      </w:tr>
      <w:tr w:rsidR="001C4EB4" w14:paraId="56EE21FA" w14:textId="77777777" w:rsidTr="00E829CA">
        <w:tc>
          <w:tcPr>
            <w:tcW w:w="1384" w:type="dxa"/>
          </w:tcPr>
          <w:p w14:paraId="00E55085" w14:textId="77777777" w:rsidR="001C4EB4" w:rsidRDefault="001C4EB4" w:rsidP="001C4EB4">
            <w:pPr>
              <w:jc w:val="left"/>
            </w:pPr>
            <w:r>
              <w:t>Excellent</w:t>
            </w:r>
          </w:p>
        </w:tc>
        <w:tc>
          <w:tcPr>
            <w:tcW w:w="1390" w:type="dxa"/>
          </w:tcPr>
          <w:p w14:paraId="784EC173" w14:textId="433B05AA" w:rsidR="001C4EB4" w:rsidRDefault="001C4EB4" w:rsidP="001C4EB4">
            <w:pPr>
              <w:jc w:val="center"/>
            </w:pPr>
            <w:r>
              <w:rPr>
                <w:rFonts w:cs="Arial"/>
              </w:rPr>
              <w:t xml:space="preserve">&lt; </w:t>
            </w:r>
            <w:r w:rsidR="00812E75">
              <w:rPr>
                <w:rFonts w:cs="Arial"/>
              </w:rPr>
              <w:t>10</w:t>
            </w:r>
          </w:p>
        </w:tc>
        <w:tc>
          <w:tcPr>
            <w:tcW w:w="0" w:type="auto"/>
          </w:tcPr>
          <w:p w14:paraId="00604F65" w14:textId="29E28BA0" w:rsidR="001C4EB4" w:rsidRDefault="001C4EB4" w:rsidP="001C4EB4">
            <w:pPr>
              <w:jc w:val="center"/>
            </w:pPr>
            <w:r>
              <w:rPr>
                <w:rFonts w:cs="Arial"/>
              </w:rPr>
              <w:t xml:space="preserve">&lt; </w:t>
            </w:r>
            <w:r w:rsidR="00B930DC">
              <w:rPr>
                <w:rFonts w:cs="Arial"/>
              </w:rPr>
              <w:t>2,5</w:t>
            </w:r>
          </w:p>
        </w:tc>
        <w:tc>
          <w:tcPr>
            <w:tcW w:w="0" w:type="auto"/>
          </w:tcPr>
          <w:p w14:paraId="09D28307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6BF952E6" w14:textId="60D1CC74" w:rsidR="001C4EB4" w:rsidRDefault="00876D5D" w:rsidP="001C4EB4">
            <w:pPr>
              <w:jc w:val="center"/>
            </w:pPr>
            <w:r>
              <w:rPr>
                <w:rFonts w:cs="Arial"/>
              </w:rPr>
              <w:t xml:space="preserve">&gt; </w:t>
            </w:r>
            <w:r w:rsidR="003D5E15">
              <w:rPr>
                <w:rFonts w:cs="Arial"/>
              </w:rPr>
              <w:t>6</w:t>
            </w:r>
          </w:p>
        </w:tc>
      </w:tr>
      <w:tr w:rsidR="001C4EB4" w14:paraId="23CE2493" w14:textId="77777777" w:rsidTr="00E829CA">
        <w:tc>
          <w:tcPr>
            <w:tcW w:w="1384" w:type="dxa"/>
          </w:tcPr>
          <w:p w14:paraId="089A5C0D" w14:textId="56F59AC7" w:rsidR="001C4EB4" w:rsidRDefault="00E829CA" w:rsidP="00E829CA">
            <w:pPr>
              <w:spacing w:after="100"/>
              <w:jc w:val="left"/>
            </w:pPr>
            <w:r>
              <w:t>Très bon</w:t>
            </w:r>
          </w:p>
        </w:tc>
        <w:tc>
          <w:tcPr>
            <w:tcW w:w="1390" w:type="dxa"/>
          </w:tcPr>
          <w:p w14:paraId="24CA053D" w14:textId="4BAB80AE" w:rsidR="001C4EB4" w:rsidRDefault="001C4EB4" w:rsidP="001C4EB4">
            <w:pPr>
              <w:jc w:val="center"/>
            </w:pPr>
            <w:r>
              <w:rPr>
                <w:rFonts w:cs="Arial"/>
              </w:rPr>
              <w:t>&lt;</w:t>
            </w:r>
            <w:r>
              <w:t xml:space="preserve"> </w:t>
            </w:r>
            <w:r w:rsidR="00B930DC">
              <w:t>3</w:t>
            </w:r>
            <w:r w:rsidR="001A3DDA">
              <w:t>0</w:t>
            </w:r>
          </w:p>
        </w:tc>
        <w:tc>
          <w:tcPr>
            <w:tcW w:w="0" w:type="auto"/>
          </w:tcPr>
          <w:p w14:paraId="7537B692" w14:textId="44B0BE71" w:rsidR="001C4EB4" w:rsidRDefault="001C4EB4" w:rsidP="001C4EB4">
            <w:pPr>
              <w:jc w:val="center"/>
            </w:pPr>
            <w:r>
              <w:rPr>
                <w:rFonts w:cs="Arial"/>
              </w:rPr>
              <w:t>&lt;</w:t>
            </w:r>
            <w:r>
              <w:t xml:space="preserve"> </w:t>
            </w:r>
            <w:r w:rsidR="00B930DC">
              <w:t>3</w:t>
            </w:r>
            <w:r w:rsidR="009D5165">
              <w:t>,5</w:t>
            </w:r>
          </w:p>
        </w:tc>
        <w:tc>
          <w:tcPr>
            <w:tcW w:w="0" w:type="auto"/>
          </w:tcPr>
          <w:p w14:paraId="7563EED4" w14:textId="77777777" w:rsidR="001C4EB4" w:rsidRDefault="001C4EB4" w:rsidP="001C4EB4">
            <w:pPr>
              <w:jc w:val="center"/>
            </w:pPr>
          </w:p>
        </w:tc>
        <w:tc>
          <w:tcPr>
            <w:tcW w:w="0" w:type="auto"/>
          </w:tcPr>
          <w:p w14:paraId="15CE3B85" w14:textId="343F5C0A" w:rsidR="001C4EB4" w:rsidRDefault="00876D5D" w:rsidP="00876D5D">
            <w:pPr>
              <w:jc w:val="center"/>
            </w:pPr>
            <w:r w:rsidRPr="00876D5D">
              <w:rPr>
                <w:rFonts w:cs="Arial"/>
              </w:rPr>
              <w:t>&gt;</w:t>
            </w:r>
            <w:r>
              <w:t xml:space="preserve"> </w:t>
            </w:r>
            <w:r w:rsidR="00B930DC">
              <w:t>4</w:t>
            </w:r>
          </w:p>
        </w:tc>
      </w:tr>
    </w:tbl>
    <w:p w14:paraId="3CA9322A" w14:textId="77777777" w:rsidR="002644B6" w:rsidRDefault="002644B6" w:rsidP="008C4C98">
      <w:pPr>
        <w:rPr>
          <w:b/>
          <w:u w:val="single"/>
        </w:rPr>
      </w:pPr>
    </w:p>
    <w:p w14:paraId="4C17CE65" w14:textId="3C023B49" w:rsidR="007C13EB" w:rsidRDefault="007C13EB" w:rsidP="008C4C98">
      <w:r>
        <w:rPr>
          <w:b/>
          <w:u w:val="single"/>
        </w:rPr>
        <w:t>La transparence</w:t>
      </w:r>
    </w:p>
    <w:p w14:paraId="210FCAD8" w14:textId="2124EA64" w:rsidR="0094696D" w:rsidRDefault="007C13EB">
      <w:r>
        <w:t xml:space="preserve">Dans le cadre du suivi du RSVL, nous avons effectué </w:t>
      </w:r>
      <w:r w:rsidR="003D5E15">
        <w:t>s</w:t>
      </w:r>
      <w:r w:rsidR="00BD61FE">
        <w:t>ept</w:t>
      </w:r>
      <w:r>
        <w:t xml:space="preserve"> mesures de la transparence. La moy</w:t>
      </w:r>
      <w:r w:rsidR="00CF5323">
        <w:t>e</w:t>
      </w:r>
      <w:r>
        <w:t>nne des valeurs mesurées pour l’été 20</w:t>
      </w:r>
      <w:r w:rsidR="00C644C4">
        <w:t>2</w:t>
      </w:r>
      <w:r w:rsidR="00BD61FE">
        <w:t>3</w:t>
      </w:r>
      <w:r>
        <w:t xml:space="preserve"> a été de </w:t>
      </w:r>
      <w:r w:rsidR="00BD61FE">
        <w:t>6,5</w:t>
      </w:r>
      <w:r>
        <w:t xml:space="preserve"> mètres, ce qui est considéré comme </w:t>
      </w:r>
      <w:r w:rsidR="00BD61FE">
        <w:t>excellen</w:t>
      </w:r>
      <w:r w:rsidR="007B08BB">
        <w:t>t</w:t>
      </w:r>
      <w:r>
        <w:t xml:space="preserve"> par le ministère de l’Environnement. </w:t>
      </w:r>
    </w:p>
    <w:p w14:paraId="1DBA7A27" w14:textId="211D0900" w:rsidR="00A932F2" w:rsidRDefault="007C13EB">
      <w:pPr>
        <w:contextualSpacing/>
      </w:pPr>
      <w:r>
        <w:t>On peut noter que la transparence moyenne de 20</w:t>
      </w:r>
      <w:r w:rsidR="00C644C4">
        <w:t>2</w:t>
      </w:r>
      <w:r w:rsidR="008F5229">
        <w:t>3</w:t>
      </w:r>
      <w:r>
        <w:t xml:space="preserve"> a été </w:t>
      </w:r>
      <w:r w:rsidR="008F5229">
        <w:t>sensiblement égale</w:t>
      </w:r>
      <w:r w:rsidR="00B21DA0">
        <w:t xml:space="preserve"> aux</w:t>
      </w:r>
      <w:r w:rsidR="00B467C3">
        <w:t xml:space="preserve"> </w:t>
      </w:r>
      <w:r w:rsidR="008F5229">
        <w:t>neuf</w:t>
      </w:r>
      <w:r w:rsidR="00B467C3">
        <w:t xml:space="preserve"> années précédentes</w:t>
      </w:r>
      <w:r>
        <w:t>.</w:t>
      </w:r>
      <w:r w:rsidR="00B21DA0">
        <w:t xml:space="preserve">  </w:t>
      </w:r>
    </w:p>
    <w:p w14:paraId="15ECF34D" w14:textId="77777777" w:rsidR="007C13EB" w:rsidRDefault="007C13EB"/>
    <w:p w14:paraId="3E3E8F3D" w14:textId="77777777" w:rsidR="009D35E7" w:rsidRDefault="009D35E7">
      <w:pPr>
        <w:rPr>
          <w:b/>
          <w:u w:val="single"/>
        </w:rPr>
      </w:pPr>
      <w:r>
        <w:rPr>
          <w:b/>
          <w:u w:val="single"/>
        </w:rPr>
        <w:t>Analyse bactériologique</w:t>
      </w:r>
    </w:p>
    <w:p w14:paraId="0109EED5" w14:textId="308E128D" w:rsidR="009D35E7" w:rsidRDefault="009D35E7">
      <w:r>
        <w:t>Trois séries d’échantillonnages ont été effectués devant chaque plage. Les résultats sont excellents</w:t>
      </w:r>
      <w:r w:rsidR="00AE44ED">
        <w:t xml:space="preserve"> (</w:t>
      </w:r>
      <w:r w:rsidR="007B08BB">
        <w:t>v</w:t>
      </w:r>
      <w:r w:rsidR="00AE44ED">
        <w:t>oir tableau en annexe)</w:t>
      </w:r>
      <w:r w:rsidR="00B21DA0">
        <w:t xml:space="preserve"> avec une moyenne de </w:t>
      </w:r>
      <w:r w:rsidR="007B08BB">
        <w:t>neuf</w:t>
      </w:r>
      <w:r w:rsidR="00B21DA0">
        <w:t xml:space="preserve"> </w:t>
      </w:r>
      <w:r w:rsidR="008F5229">
        <w:t xml:space="preserve"> </w:t>
      </w:r>
      <w:r w:rsidR="00B21DA0">
        <w:t xml:space="preserve"> </w:t>
      </w:r>
      <w:r w:rsidR="007B08BB">
        <w:t xml:space="preserve">e  </w:t>
      </w:r>
      <w:r w:rsidR="00B21DA0">
        <w:t xml:space="preserve">colis pour la saison. </w:t>
      </w:r>
    </w:p>
    <w:p w14:paraId="7368A862" w14:textId="7CCBD470" w:rsidR="00573EAA" w:rsidRDefault="00573EAA">
      <w:pPr>
        <w:rPr>
          <w:b/>
          <w:bCs/>
          <w:u w:val="single"/>
        </w:rPr>
      </w:pPr>
      <w:r>
        <w:rPr>
          <w:b/>
          <w:bCs/>
          <w:u w:val="single"/>
        </w:rPr>
        <w:t>Le phosphore total</w:t>
      </w:r>
    </w:p>
    <w:p w14:paraId="32A1C4F3" w14:textId="4A8CFF0C" w:rsidR="00820B83" w:rsidRDefault="00820B83">
      <w:r>
        <w:t>Le phosphore est un élément très important dans le suivi du lac</w:t>
      </w:r>
      <w:r w:rsidR="00AB0561">
        <w:t>.</w:t>
      </w:r>
      <w:r w:rsidR="00745A0F">
        <w:t xml:space="preserve"> </w:t>
      </w:r>
      <w:r w:rsidR="00AB0561">
        <w:t>T</w:t>
      </w:r>
      <w:r w:rsidR="00745A0F">
        <w:t>rois échantillonnages ont été effectués aux mêmes journées que l’échantillonnage bactériologique</w:t>
      </w:r>
      <w:r>
        <w:t>.</w:t>
      </w:r>
      <w:r w:rsidR="00745A0F">
        <w:t xml:space="preserve"> </w:t>
      </w:r>
      <w:r>
        <w:t>En trop grande concentration</w:t>
      </w:r>
      <w:r w:rsidR="006D7FC2">
        <w:t>, le phosphore est</w:t>
      </w:r>
      <w:r>
        <w:t xml:space="preserve"> responsable du vieillissement accéléré des lacs (eutrophisation) et du développement excessif des cyanobactéries.</w:t>
      </w:r>
      <w:r w:rsidR="00B21DA0">
        <w:t xml:space="preserve"> La moyenne du phosphore total pour la saison 202</w:t>
      </w:r>
      <w:r w:rsidR="008F5229">
        <w:t>3 est</w:t>
      </w:r>
      <w:r w:rsidR="00B21DA0">
        <w:t xml:space="preserve"> de </w:t>
      </w:r>
      <w:r w:rsidR="008F5229">
        <w:t>6,0</w:t>
      </w:r>
      <w:r w:rsidR="00B21DA0">
        <w:t xml:space="preserve"> mg/m</w:t>
      </w:r>
      <w:r w:rsidR="00AB0561">
        <w:rPr>
          <w:vertAlign w:val="superscript"/>
        </w:rPr>
        <w:t>3</w:t>
      </w:r>
      <w:r w:rsidR="00B21DA0">
        <w:t>.</w:t>
      </w:r>
      <w:r>
        <w:t xml:space="preserve"> Le tableau </w:t>
      </w:r>
      <w:r w:rsidR="007F624F">
        <w:t>en annexe</w:t>
      </w:r>
      <w:r>
        <w:t xml:space="preserve"> montre que les concentrations en phosphore </w:t>
      </w:r>
      <w:r w:rsidR="007F624F">
        <w:t>(mesurées depuis 2001) sont toujours inférieures à 10 mg/m</w:t>
      </w:r>
      <w:r w:rsidR="00AB0561">
        <w:rPr>
          <w:vertAlign w:val="superscript"/>
        </w:rPr>
        <w:t>3</w:t>
      </w:r>
      <w:r w:rsidR="007F624F">
        <w:t xml:space="preserve"> ce qui est excellent.</w:t>
      </w:r>
      <w:r>
        <w:t xml:space="preserve"> </w:t>
      </w:r>
    </w:p>
    <w:p w14:paraId="4ABD3787" w14:textId="7E7AB5C4" w:rsidR="008F5229" w:rsidRPr="00820B83" w:rsidRDefault="008F5229">
      <w:r>
        <w:lastRenderedPageBreak/>
        <w:t>Cependant, tel que discuté à la première section, les concentrations en phosphore ne représentent pas un portrait réaliste de la condition du lac Doré. Ces valeurs doivent donc être utilisé</w:t>
      </w:r>
      <w:r w:rsidR="00AB0561">
        <w:t>es</w:t>
      </w:r>
      <w:r>
        <w:t xml:space="preserve"> avec précaution, compte tenu du contexte particulier du lac Doré.</w:t>
      </w:r>
    </w:p>
    <w:p w14:paraId="4E95C70C" w14:textId="79E3985D" w:rsidR="00D14289" w:rsidRDefault="00D14289">
      <w:pPr>
        <w:rPr>
          <w:b/>
          <w:u w:val="single"/>
        </w:rPr>
      </w:pPr>
      <w:r>
        <w:rPr>
          <w:b/>
          <w:u w:val="single"/>
        </w:rPr>
        <w:t>Présence d’algues bleu-vert (cyanobactéries)</w:t>
      </w:r>
    </w:p>
    <w:p w14:paraId="44FEFA1D" w14:textId="3C3ACBB4" w:rsidR="00E21A57" w:rsidRDefault="00B467C3">
      <w:pPr>
        <w:contextualSpacing/>
      </w:pPr>
      <w:r>
        <w:t>Il y a eu</w:t>
      </w:r>
      <w:r w:rsidR="002644B6">
        <w:t xml:space="preserve"> </w:t>
      </w:r>
      <w:r w:rsidR="00B21DA0">
        <w:t>un</w:t>
      </w:r>
      <w:r w:rsidR="002644B6">
        <w:t xml:space="preserve"> signalement de cyanobactéries</w:t>
      </w:r>
      <w:r w:rsidR="003B0016">
        <w:t xml:space="preserve"> en 202</w:t>
      </w:r>
      <w:r w:rsidR="001A600A">
        <w:t>3. À la fin juillet</w:t>
      </w:r>
      <w:r w:rsidR="00AB0561">
        <w:t>,</w:t>
      </w:r>
      <w:r w:rsidR="001A600A">
        <w:t xml:space="preserve"> une petite floraison a été observée à la plage Big Dock. </w:t>
      </w:r>
      <w:r w:rsidR="00B55BE9">
        <w:t>Cette floraison, étalée sur quelques mètres carrés est peu significative compte tenu de la surface de 85,000 mètres carré</w:t>
      </w:r>
      <w:r w:rsidR="00AB0561">
        <w:t>s</w:t>
      </w:r>
      <w:r w:rsidR="00B55BE9">
        <w:t xml:space="preserve"> du lac. </w:t>
      </w:r>
      <w:r w:rsidR="00AB67D7">
        <w:t xml:space="preserve"> </w:t>
      </w:r>
      <w:r w:rsidR="00E21A57">
        <w:t xml:space="preserve"> </w:t>
      </w:r>
    </w:p>
    <w:p w14:paraId="70197AAE" w14:textId="25D38453" w:rsidR="00C00941" w:rsidRDefault="00C00941">
      <w:pPr>
        <w:contextualSpacing/>
      </w:pPr>
    </w:p>
    <w:p w14:paraId="4BC24005" w14:textId="4A52BDD8" w:rsidR="00C00941" w:rsidRDefault="002C1E9A">
      <w:pPr>
        <w:contextualSpacing/>
      </w:pPr>
      <w:r>
        <w:t>Habituellement les</w:t>
      </w:r>
      <w:r w:rsidR="00C00941">
        <w:t xml:space="preserve"> apparitions de cyanobactéries sont récurrentes depuis plusieurs</w:t>
      </w:r>
      <w:r w:rsidR="00B55BE9">
        <w:t xml:space="preserve"> </w:t>
      </w:r>
      <w:r w:rsidR="00C00941">
        <w:t>années.  Ces évènement</w:t>
      </w:r>
      <w:r w:rsidR="000E65E0">
        <w:t>s</w:t>
      </w:r>
      <w:r w:rsidR="00C00941">
        <w:t xml:space="preserve"> sont</w:t>
      </w:r>
      <w:r w:rsidR="00F33B54">
        <w:t xml:space="preserve"> un peu surprenant</w:t>
      </w:r>
      <w:r w:rsidR="00D831A4">
        <w:t>s</w:t>
      </w:r>
      <w:r w:rsidR="00C00941">
        <w:t xml:space="preserve"> car les concentrations en phosphore dans le lac sont toujours </w:t>
      </w:r>
      <w:r w:rsidR="00F33B54">
        <w:t>basses et ne devraient pas être la cause de ces développements</w:t>
      </w:r>
      <w:r w:rsidR="00B55BE9">
        <w:t>, selon les standards du ministère de l’Environnement.</w:t>
      </w:r>
      <w:r w:rsidR="00745A0F">
        <w:t xml:space="preserve"> Il faut </w:t>
      </w:r>
      <w:r w:rsidR="00AB0561">
        <w:t xml:space="preserve">aussi </w:t>
      </w:r>
      <w:r w:rsidR="00745A0F">
        <w:t>rappeler que les cyanobactéries (</w:t>
      </w:r>
      <w:r w:rsidR="0037506D">
        <w:t>appelées aussi algues bleu vert) sont présentes naturellement dans à peu près tous les lacs du monde.</w:t>
      </w:r>
      <w:r w:rsidR="00C00941">
        <w:t xml:space="preserve"> </w:t>
      </w:r>
    </w:p>
    <w:p w14:paraId="202B02E0" w14:textId="77777777" w:rsidR="00B55BE9" w:rsidRDefault="00B55BE9">
      <w:pPr>
        <w:contextualSpacing/>
      </w:pPr>
    </w:p>
    <w:p w14:paraId="5B1EAE2C" w14:textId="07E77E47" w:rsidR="00B55BE9" w:rsidRDefault="00B55BE9">
      <w:pPr>
        <w:contextualSpacing/>
      </w:pPr>
      <w:r>
        <w:t xml:space="preserve">Cependant les dernières études montrent qu’un lac ayant une urbanisation élevée (comme le lac Doré) est plus sensible que ce que les standards du MDDELCC indiquent.  </w:t>
      </w:r>
    </w:p>
    <w:p w14:paraId="176BA0E6" w14:textId="77777777" w:rsidR="00C00941" w:rsidRDefault="00C00941">
      <w:pPr>
        <w:contextualSpacing/>
      </w:pPr>
    </w:p>
    <w:p w14:paraId="2221FD33" w14:textId="736E80E3" w:rsidR="00440262" w:rsidRDefault="00B55BE9">
      <w:pPr>
        <w:contextualSpacing/>
      </w:pPr>
      <w:r>
        <w:t>Une</w:t>
      </w:r>
      <w:r w:rsidR="0041337C">
        <w:t xml:space="preserve"> </w:t>
      </w:r>
      <w:r w:rsidR="00D831A4">
        <w:t>raison</w:t>
      </w:r>
      <w:r>
        <w:t xml:space="preserve"> p</w:t>
      </w:r>
      <w:r w:rsidR="0041337C">
        <w:t>robable de la présence ponctuelle des fleurs d’eau de cyanobactéries au lac Doré serait liée à la très bonne transparence de son eau. Cette dernière est équivalent</w:t>
      </w:r>
      <w:r w:rsidR="00F84275">
        <w:t>e</w:t>
      </w:r>
      <w:r w:rsidR="0041337C">
        <w:t xml:space="preserve"> </w:t>
      </w:r>
      <w:r w:rsidR="00F84275">
        <w:t>à</w:t>
      </w:r>
      <w:r w:rsidR="0041337C">
        <w:t xml:space="preserve"> une eau de puits car elle provient de la nappe phréatique </w:t>
      </w:r>
      <w:r w:rsidR="00F84275">
        <w:t>et</w:t>
      </w:r>
      <w:r w:rsidR="006D7FC2">
        <w:t xml:space="preserve"> elle</w:t>
      </w:r>
      <w:r w:rsidR="00F84275">
        <w:t xml:space="preserve"> es</w:t>
      </w:r>
      <w:r w:rsidR="00D831A4">
        <w:t>t</w:t>
      </w:r>
      <w:r w:rsidR="00F84275">
        <w:t xml:space="preserve"> très claire et sans couleur. Les rayons du soleil peuvent pénétrer profondément ce qui favorise le développement des cyanobactéries dans l’ensemble du lac (</w:t>
      </w:r>
      <w:r w:rsidR="00C85057">
        <w:t xml:space="preserve">ce dernier </w:t>
      </w:r>
      <w:r w:rsidR="00F84275">
        <w:t>ayant une profondeur moyenne de 5,7 mètres).</w:t>
      </w:r>
      <w:r w:rsidR="0037506D">
        <w:t xml:space="preserve"> Au lac Doré</w:t>
      </w:r>
      <w:r w:rsidR="006D7FC2">
        <w:t>,</w:t>
      </w:r>
      <w:r w:rsidR="0037506D">
        <w:t xml:space="preserve"> la concentration totale de ces organismes a beau ne pas être très élevée, à un certain moment elle</w:t>
      </w:r>
      <w:r w:rsidR="00440262">
        <w:t>s</w:t>
      </w:r>
      <w:r w:rsidR="0037506D">
        <w:t xml:space="preserve"> peuvent se déplacer vers la surface pour y flotter </w:t>
      </w:r>
      <w:r w:rsidR="00440262">
        <w:t>en une mince couche</w:t>
      </w:r>
      <w:r w:rsidR="006D7FC2">
        <w:t xml:space="preserve"> visible</w:t>
      </w:r>
      <w:r w:rsidR="00440262">
        <w:t>. Un vent léger va les concentrer en amas plus important</w:t>
      </w:r>
      <w:r w:rsidR="006D7FC2">
        <w:t>s</w:t>
      </w:r>
      <w:r w:rsidR="00440262">
        <w:t xml:space="preserve"> près du rivage. Il est important de ne pas se baigner lorsqu’il y a une présence visible de ces algues bleu vert car il y a des risques de présence de toxines à ces endroits.</w:t>
      </w:r>
    </w:p>
    <w:p w14:paraId="1ECB6B99" w14:textId="77777777" w:rsidR="00440262" w:rsidRDefault="00440262">
      <w:pPr>
        <w:contextualSpacing/>
      </w:pPr>
    </w:p>
    <w:p w14:paraId="592E8BDE" w14:textId="5520B0EE" w:rsidR="002D660E" w:rsidRDefault="002D660E">
      <w:pPr>
        <w:contextualSpacing/>
      </w:pPr>
      <w:r>
        <w:t>Il serait intéressant que les membres consultent le document Guide d’identification des fleurs d’eau de cyanobactéries, rédigé par le MDDELCC.</w:t>
      </w:r>
    </w:p>
    <w:p w14:paraId="37B6B572" w14:textId="77777777" w:rsidR="00B55BE9" w:rsidRDefault="00B55BE9">
      <w:pPr>
        <w:contextualSpacing/>
      </w:pPr>
    </w:p>
    <w:p w14:paraId="12888AAB" w14:textId="4C1A1190" w:rsidR="00B55BE9" w:rsidRDefault="00B55BE9">
      <w:pPr>
        <w:contextualSpacing/>
      </w:pPr>
      <w:r>
        <w:t>Il faudrait donc revoir avec</w:t>
      </w:r>
      <w:r w:rsidR="004E03FF">
        <w:t xml:space="preserve"> la municipalité le plan d’urbanisation du secteur afin d’éviter une dégradation irréversible du milieu.</w:t>
      </w:r>
      <w:r>
        <w:t xml:space="preserve"> </w:t>
      </w:r>
    </w:p>
    <w:p w14:paraId="6E080D58" w14:textId="77777777" w:rsidR="002D660E" w:rsidRDefault="002D660E">
      <w:pPr>
        <w:contextualSpacing/>
      </w:pPr>
    </w:p>
    <w:p w14:paraId="76B23D24" w14:textId="71537874" w:rsidR="005C51F2" w:rsidRDefault="00B55BE9">
      <w:pPr>
        <w:contextualSpacing/>
      </w:pPr>
      <w:r>
        <w:t>Un</w:t>
      </w:r>
      <w:r w:rsidR="002D660E">
        <w:t xml:space="preserve"> point sur lequel nous pouvons</w:t>
      </w:r>
      <w:r w:rsidR="004E03FF">
        <w:t xml:space="preserve"> aussi</w:t>
      </w:r>
      <w:r w:rsidR="002D660E">
        <w:t xml:space="preserve"> travailler et mettre de l’emphase est de viser des concentrations en phosphore les plus basses possible. Les moyens les plus efficace</w:t>
      </w:r>
      <w:r w:rsidR="006D7FC2">
        <w:t>s</w:t>
      </w:r>
      <w:r w:rsidR="002D660E">
        <w:t xml:space="preserve"> pour obtenir de bons </w:t>
      </w:r>
      <w:r w:rsidR="005C51F2">
        <w:t>résultats sont les suivants</w:t>
      </w:r>
      <w:r w:rsidR="006D7FC2">
        <w:t> :</w:t>
      </w:r>
    </w:p>
    <w:p w14:paraId="773817E7" w14:textId="77777777" w:rsidR="005C51F2" w:rsidRDefault="005C51F2">
      <w:pPr>
        <w:contextualSpacing/>
      </w:pPr>
    </w:p>
    <w:p w14:paraId="50C258C3" w14:textId="77777777" w:rsidR="005C51F2" w:rsidRDefault="005C51F2" w:rsidP="005C51F2">
      <w:pPr>
        <w:pStyle w:val="Paragraphedeliste"/>
        <w:numPr>
          <w:ilvl w:val="0"/>
          <w:numId w:val="2"/>
        </w:numPr>
      </w:pPr>
      <w:r>
        <w:t>Cesser l’utilisation d’engrais</w:t>
      </w:r>
    </w:p>
    <w:p w14:paraId="190A7942" w14:textId="77777777" w:rsidR="005C51F2" w:rsidRDefault="005C51F2" w:rsidP="005C51F2">
      <w:pPr>
        <w:pStyle w:val="Paragraphedeliste"/>
        <w:numPr>
          <w:ilvl w:val="0"/>
          <w:numId w:val="2"/>
        </w:numPr>
      </w:pPr>
      <w:r>
        <w:t>Protéger et améliorer la bande riveraine</w:t>
      </w:r>
    </w:p>
    <w:p w14:paraId="20E22C80" w14:textId="77777777" w:rsidR="005C51F2" w:rsidRDefault="005C51F2" w:rsidP="005C51F2">
      <w:pPr>
        <w:pStyle w:val="Paragraphedeliste"/>
        <w:numPr>
          <w:ilvl w:val="0"/>
          <w:numId w:val="2"/>
        </w:numPr>
      </w:pPr>
      <w:r>
        <w:lastRenderedPageBreak/>
        <w:t>Diminuer le ruissellement et les zones non perméables.</w:t>
      </w:r>
    </w:p>
    <w:p w14:paraId="3C07BCC9" w14:textId="50C84096" w:rsidR="005C51F2" w:rsidRDefault="005C51F2" w:rsidP="005C51F2">
      <w:pPr>
        <w:pStyle w:val="Paragraphedeliste"/>
        <w:numPr>
          <w:ilvl w:val="0"/>
          <w:numId w:val="2"/>
        </w:numPr>
      </w:pPr>
      <w:r>
        <w:t>Favoriser la plantation d’arbres et d’arbustes dans tous les secteur</w:t>
      </w:r>
      <w:r w:rsidR="006D7FC2">
        <w:t>s</w:t>
      </w:r>
      <w:r>
        <w:t>.</w:t>
      </w:r>
    </w:p>
    <w:p w14:paraId="2D628B57" w14:textId="2A924AED" w:rsidR="006D7FC2" w:rsidRDefault="006D7FC2" w:rsidP="005C51F2">
      <w:pPr>
        <w:pStyle w:val="Paragraphedeliste"/>
        <w:numPr>
          <w:ilvl w:val="0"/>
          <w:numId w:val="2"/>
        </w:numPr>
      </w:pPr>
      <w:r>
        <w:t>Ne pas nourrir les oiseaux aquatiques.</w:t>
      </w:r>
    </w:p>
    <w:p w14:paraId="5C7D1807" w14:textId="77777777" w:rsidR="005C51F2" w:rsidRDefault="005C51F2" w:rsidP="005C51F2">
      <w:pPr>
        <w:pStyle w:val="Paragraphedeliste"/>
        <w:numPr>
          <w:ilvl w:val="0"/>
          <w:numId w:val="2"/>
        </w:numPr>
      </w:pPr>
      <w:r>
        <w:t>Etc.</w:t>
      </w:r>
    </w:p>
    <w:p w14:paraId="7A8DD30B" w14:textId="77777777" w:rsidR="00440262" w:rsidRDefault="00440262" w:rsidP="005C51F2"/>
    <w:p w14:paraId="15450007" w14:textId="6D193186" w:rsidR="0005376C" w:rsidRPr="005C51F2" w:rsidRDefault="0057632F" w:rsidP="005C51F2">
      <w:r w:rsidRPr="005C51F2">
        <w:rPr>
          <w:b/>
          <w:u w:val="single"/>
        </w:rPr>
        <w:t>Le myriophylle à épis</w:t>
      </w:r>
      <w:r w:rsidR="0005376C" w:rsidRPr="005C51F2">
        <w:rPr>
          <w:b/>
          <w:u w:val="single"/>
        </w:rPr>
        <w:t xml:space="preserve"> </w:t>
      </w:r>
    </w:p>
    <w:p w14:paraId="131EC065" w14:textId="77777777" w:rsidR="0005376C" w:rsidRDefault="0005376C">
      <w:pPr>
        <w:contextualSpacing/>
        <w:rPr>
          <w:b/>
          <w:u w:val="single"/>
        </w:rPr>
      </w:pPr>
    </w:p>
    <w:p w14:paraId="1DC7B0D8" w14:textId="639D84F2" w:rsidR="0005376C" w:rsidRDefault="0057632F">
      <w:pPr>
        <w:contextualSpacing/>
      </w:pPr>
      <w:r>
        <w:t xml:space="preserve">En raison des risques de contamination par cette plante envahissante, l’APLD </w:t>
      </w:r>
      <w:r w:rsidR="004E03FF">
        <w:t>a</w:t>
      </w:r>
      <w:r>
        <w:t xml:space="preserve"> install</w:t>
      </w:r>
      <w:r w:rsidR="004E03FF">
        <w:t>é</w:t>
      </w:r>
      <w:r>
        <w:t xml:space="preserve"> des panneaux aux différentes plages afin d’aviser les utilisateurs des mesures à prendre pour éviter une possible infestation.</w:t>
      </w:r>
    </w:p>
    <w:p w14:paraId="5FCDE376" w14:textId="789C00E7" w:rsidR="00E02941" w:rsidRDefault="00E02941">
      <w:pPr>
        <w:contextualSpacing/>
      </w:pPr>
    </w:p>
    <w:p w14:paraId="68B4E10C" w14:textId="77777777" w:rsidR="00D77A5D" w:rsidRDefault="00D77A5D">
      <w:pPr>
        <w:contextualSpacing/>
        <w:rPr>
          <w:b/>
          <w:bCs/>
          <w:u w:val="single"/>
        </w:rPr>
      </w:pPr>
    </w:p>
    <w:p w14:paraId="13DB925C" w14:textId="0FA28429" w:rsidR="00E02941" w:rsidRDefault="00E02941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Les oiseaux aquatiques</w:t>
      </w:r>
    </w:p>
    <w:p w14:paraId="5CE40B46" w14:textId="33915F30" w:rsidR="00E02941" w:rsidRDefault="00E02941">
      <w:pPr>
        <w:contextualSpacing/>
        <w:rPr>
          <w:b/>
          <w:bCs/>
          <w:u w:val="single"/>
        </w:rPr>
      </w:pPr>
    </w:p>
    <w:p w14:paraId="0E82C253" w14:textId="4D126BAF" w:rsidR="002E5D2A" w:rsidRDefault="00E02941">
      <w:pPr>
        <w:contextualSpacing/>
      </w:pPr>
      <w:r>
        <w:t>Le lac Doré à régulièrement la visite de certains oiseaux aquatiques</w:t>
      </w:r>
      <w:r w:rsidR="00D77A5D">
        <w:t>.</w:t>
      </w:r>
      <w:r>
        <w:t xml:space="preserve"> </w:t>
      </w:r>
      <w:r w:rsidR="00D77A5D">
        <w:t>L</w:t>
      </w:r>
      <w:r>
        <w:t>es plus communs sont le canard colvert, la bernache</w:t>
      </w:r>
      <w:r w:rsidR="00D77A5D">
        <w:t xml:space="preserve"> (outardes)</w:t>
      </w:r>
      <w:r w:rsidR="00316244">
        <w:t xml:space="preserve"> et le goéland argenté. Il est normal que quelques familles de colvert</w:t>
      </w:r>
      <w:r w:rsidR="00D77A5D">
        <w:t>s</w:t>
      </w:r>
      <w:r w:rsidR="00316244">
        <w:t xml:space="preserve"> et/ou outardes y nichent en période estivale. Ce qui est à proscrire c’est </w:t>
      </w:r>
      <w:r w:rsidR="002E5D2A">
        <w:t>le fait que</w:t>
      </w:r>
      <w:r w:rsidR="00316244">
        <w:t xml:space="preserve"> certaines personnes les nourrissent</w:t>
      </w:r>
      <w:r w:rsidR="00D77A5D">
        <w:t>,</w:t>
      </w:r>
      <w:r w:rsidR="00316244">
        <w:t xml:space="preserve"> </w:t>
      </w:r>
      <w:r w:rsidR="00D77A5D">
        <w:t>ayant</w:t>
      </w:r>
      <w:r w:rsidR="00316244">
        <w:t xml:space="preserve"> comme impact </w:t>
      </w:r>
      <w:r w:rsidR="00D77A5D">
        <w:t>l’augmentation de</w:t>
      </w:r>
      <w:r w:rsidR="00316244">
        <w:t xml:space="preserve"> la population de ces oiseaux, </w:t>
      </w:r>
      <w:r w:rsidR="002E5D2A">
        <w:t>entr</w:t>
      </w:r>
      <w:r w:rsidR="00D77A5D">
        <w:t>aî</w:t>
      </w:r>
      <w:r w:rsidR="002E5D2A">
        <w:t>nant une hausse des nuisances associée</w:t>
      </w:r>
      <w:r w:rsidR="00D77A5D">
        <w:t>s</w:t>
      </w:r>
      <w:r w:rsidR="002E5D2A">
        <w:t xml:space="preserve"> à un trop grand nombre de ces volatiles.</w:t>
      </w:r>
    </w:p>
    <w:p w14:paraId="64C45442" w14:textId="5AE1433D" w:rsidR="002E5D2A" w:rsidRDefault="002E5D2A">
      <w:pPr>
        <w:contextualSpacing/>
      </w:pPr>
    </w:p>
    <w:p w14:paraId="312F77AA" w14:textId="662CECEB" w:rsidR="0020034F" w:rsidRDefault="002E5D2A">
      <w:pPr>
        <w:contextualSpacing/>
      </w:pPr>
      <w:r>
        <w:t xml:space="preserve">Il faut savoir qu’un canard (en déféquant) va générer cinq fois plus de coliformes fécaux qu’un humain. </w:t>
      </w:r>
      <w:r w:rsidR="001C1EFB">
        <w:t>C’est l’équivalent</w:t>
      </w:r>
      <w:r w:rsidR="00C85057">
        <w:t>,</w:t>
      </w:r>
      <w:r w:rsidR="00D77A5D">
        <w:t xml:space="preserve"> par oiseau aquatique</w:t>
      </w:r>
      <w:r w:rsidR="00C85057">
        <w:t>,</w:t>
      </w:r>
      <w:r w:rsidR="001C1EFB">
        <w:t xml:space="preserve"> de deux résidences dont les eaux usées se déverseraient directement dans le lac. A</w:t>
      </w:r>
      <w:r w:rsidR="00D77A5D">
        <w:t>u</w:t>
      </w:r>
      <w:r w:rsidR="001C1EFB">
        <w:t xml:space="preserve"> niveau du phosphore, poids pour poids</w:t>
      </w:r>
      <w:r w:rsidR="00D77A5D">
        <w:t>,</w:t>
      </w:r>
      <w:r w:rsidR="001C1EFB">
        <w:t xml:space="preserve"> un canard va produire dix fois plus de phosphore qu’un porc.</w:t>
      </w:r>
      <w:r w:rsidR="009E2AFA">
        <w:t xml:space="preserve"> Le lac </w:t>
      </w:r>
      <w:r w:rsidR="00D77A5D">
        <w:t>a</w:t>
      </w:r>
      <w:r w:rsidR="009E2AFA">
        <w:t xml:space="preserve"> un</w:t>
      </w:r>
      <w:r w:rsidR="006E37D7">
        <w:t>e</w:t>
      </w:r>
      <w:r w:rsidR="009E2AFA">
        <w:t xml:space="preserve"> certaine capacité naturelle d’auto</w:t>
      </w:r>
      <w:r w:rsidR="00C85057">
        <w:t>-</w:t>
      </w:r>
      <w:r w:rsidR="009E2AFA">
        <w:t xml:space="preserve"> épuration mais il y a des limites à ne pas dépasser</w:t>
      </w:r>
      <w:r w:rsidR="0020034F">
        <w:t>.</w:t>
      </w:r>
    </w:p>
    <w:p w14:paraId="16C9E010" w14:textId="77777777" w:rsidR="0020034F" w:rsidRDefault="0020034F">
      <w:pPr>
        <w:contextualSpacing/>
      </w:pPr>
    </w:p>
    <w:p w14:paraId="20CC2CFD" w14:textId="563F40FB" w:rsidR="001C1EFB" w:rsidRDefault="0020034F">
      <w:pPr>
        <w:contextualSpacing/>
      </w:pPr>
      <w:r>
        <w:t>De plus</w:t>
      </w:r>
      <w:r w:rsidR="00C85057">
        <w:t>,</w:t>
      </w:r>
      <w:r>
        <w:t xml:space="preserve"> ces oiseaux ont la fâcheuse habitude d’adopter les quais et radeaux pour s’y reposer et y déféquer en toute quiétude. Ce qui laisse des traces   contaminante</w:t>
      </w:r>
      <w:r w:rsidR="004E03FF">
        <w:t>s</w:t>
      </w:r>
      <w:r>
        <w:t xml:space="preserve"> pour les usagers.</w:t>
      </w:r>
    </w:p>
    <w:p w14:paraId="68BDE82E" w14:textId="77777777" w:rsidR="00D2420E" w:rsidRDefault="00D2420E">
      <w:pPr>
        <w:contextualSpacing/>
      </w:pPr>
    </w:p>
    <w:p w14:paraId="4DE59E16" w14:textId="62AAA8D8" w:rsidR="00D2420E" w:rsidRDefault="0020034F">
      <w:pPr>
        <w:contextualSpacing/>
      </w:pPr>
      <w:r>
        <w:t>L</w:t>
      </w:r>
      <w:r w:rsidR="001C1EFB">
        <w:t>es oiseaux aquatiques (via leurs excréments) vont</w:t>
      </w:r>
      <w:r>
        <w:t xml:space="preserve"> aussi</w:t>
      </w:r>
      <w:r w:rsidR="001C1EFB">
        <w:t xml:space="preserve"> apporter au lac des vers microscopiques (cercaires) qui sont responsables </w:t>
      </w:r>
      <w:r w:rsidR="00D2420E">
        <w:t>de problèmes cutanés chez les humains, appelé</w:t>
      </w:r>
      <w:r w:rsidR="00D77A5D">
        <w:t>s</w:t>
      </w:r>
      <w:r w:rsidR="00D2420E">
        <w:t xml:space="preserve"> la dermatite des baigneurs.</w:t>
      </w:r>
    </w:p>
    <w:p w14:paraId="6D875BD9" w14:textId="77777777" w:rsidR="00D2420E" w:rsidRDefault="00D2420E">
      <w:pPr>
        <w:contextualSpacing/>
      </w:pPr>
    </w:p>
    <w:p w14:paraId="66EE88C4" w14:textId="27FB448E" w:rsidR="009E2AFA" w:rsidRDefault="00D2420E">
      <w:pPr>
        <w:contextualSpacing/>
      </w:pPr>
      <w:r>
        <w:t>Il y a aussi le fait que ces oiseaux sauvages, s’ils sont nourris par les humains</w:t>
      </w:r>
      <w:r w:rsidR="00D77A5D">
        <w:t>,</w:t>
      </w:r>
      <w:r>
        <w:t xml:space="preserve"> </w:t>
      </w:r>
      <w:r w:rsidR="00E81BAD">
        <w:t xml:space="preserve">peuvent tomber malades, </w:t>
      </w:r>
      <w:r>
        <w:t>deviennent des proies plus faciles pour les chasseurs et/ou retarde</w:t>
      </w:r>
      <w:r w:rsidR="00C85057">
        <w:t>nt</w:t>
      </w:r>
      <w:r>
        <w:t xml:space="preserve"> leur migration à l’automne</w:t>
      </w:r>
      <w:r w:rsidR="00D77A5D">
        <w:t>,</w:t>
      </w:r>
      <w:r>
        <w:t xml:space="preserve"> ce qui peut les faire mourir de froi</w:t>
      </w:r>
      <w:r w:rsidR="009E2AFA">
        <w:t>d</w:t>
      </w:r>
      <w:r>
        <w:t xml:space="preserve"> ou de faim.</w:t>
      </w:r>
    </w:p>
    <w:p w14:paraId="275731F0" w14:textId="77777777" w:rsidR="009E2AFA" w:rsidRDefault="009E2AFA">
      <w:pPr>
        <w:contextualSpacing/>
      </w:pPr>
    </w:p>
    <w:p w14:paraId="0EDD5E25" w14:textId="6D81C371" w:rsidR="002E5D2A" w:rsidRDefault="009E2AFA">
      <w:pPr>
        <w:contextualSpacing/>
      </w:pPr>
      <w:r>
        <w:t>Donc</w:t>
      </w:r>
      <w:r w:rsidR="00E81BAD">
        <w:t>,</w:t>
      </w:r>
      <w:r>
        <w:t xml:space="preserve"> le pire service que vous pouvez rendre à ces oiseaux, aux baigneurs et au lac lui-même, c’est de les nourrir. Contentez</w:t>
      </w:r>
      <w:r w:rsidR="00E81BAD">
        <w:t>-</w:t>
      </w:r>
      <w:r>
        <w:t xml:space="preserve">vous d’admirer les populations normales qui se nourrissent </w:t>
      </w:r>
      <w:r w:rsidR="00B61198">
        <w:t xml:space="preserve">à même le lac, de façon naturelle. </w:t>
      </w:r>
    </w:p>
    <w:p w14:paraId="0D699CC6" w14:textId="77777777" w:rsidR="002C1120" w:rsidRDefault="002C1120">
      <w:pPr>
        <w:contextualSpacing/>
      </w:pPr>
    </w:p>
    <w:p w14:paraId="79CEC38C" w14:textId="0E543A3A" w:rsidR="00406525" w:rsidRPr="00C85057" w:rsidRDefault="00406525">
      <w:pPr>
        <w:contextualSpacing/>
        <w:rPr>
          <w:b/>
          <w:bCs/>
          <w:u w:val="single"/>
        </w:rPr>
      </w:pPr>
      <w:r w:rsidRPr="00C85057">
        <w:rPr>
          <w:b/>
          <w:bCs/>
          <w:u w:val="single"/>
        </w:rPr>
        <w:t>Conclusions et recommandations</w:t>
      </w:r>
    </w:p>
    <w:p w14:paraId="558A1552" w14:textId="77777777" w:rsidR="00C200CB" w:rsidRDefault="00C200CB">
      <w:pPr>
        <w:contextualSpacing/>
        <w:rPr>
          <w:b/>
          <w:bCs/>
        </w:rPr>
      </w:pPr>
    </w:p>
    <w:p w14:paraId="1E7AB165" w14:textId="77777777" w:rsidR="00C200CB" w:rsidRDefault="00C200CB">
      <w:pPr>
        <w:contextualSpacing/>
      </w:pPr>
      <w:r w:rsidRPr="00C200CB">
        <w:t>Compte ten</w:t>
      </w:r>
      <w:r>
        <w:t>u</w:t>
      </w:r>
      <w:r w:rsidRPr="00C200CB">
        <w:t xml:space="preserve"> des informations</w:t>
      </w:r>
      <w:r>
        <w:t xml:space="preserve"> reçues lors du Forum sur les lacs, il ressort qu’une mise à jour de nos interventions est nécessaire.</w:t>
      </w:r>
    </w:p>
    <w:p w14:paraId="27777FFC" w14:textId="77777777" w:rsidR="00C200CB" w:rsidRDefault="00C200CB">
      <w:pPr>
        <w:contextualSpacing/>
      </w:pPr>
    </w:p>
    <w:p w14:paraId="5E2C9B26" w14:textId="77777777" w:rsidR="00C200CB" w:rsidRDefault="00C200CB">
      <w:pPr>
        <w:contextualSpacing/>
      </w:pPr>
      <w:r>
        <w:t>La plus grande menace est liée à l’introduction éventuelle du myriophylle à épis. Dans ce contexte, la localisation des herbiers ainsi que l’identification des plantes aquatiques s’y développant est à prioriser.</w:t>
      </w:r>
    </w:p>
    <w:p w14:paraId="366318D4" w14:textId="77777777" w:rsidR="00C200CB" w:rsidRDefault="00C200CB">
      <w:pPr>
        <w:contextualSpacing/>
      </w:pPr>
    </w:p>
    <w:p w14:paraId="4CDF79B3" w14:textId="77777777" w:rsidR="00C200CB" w:rsidRDefault="00C200CB">
      <w:pPr>
        <w:contextualSpacing/>
      </w:pPr>
      <w:r>
        <w:t>Il y a aussi la mesure du périphyton qui serait à réaliser afin de quantifier le niveau de dégradation du lac.</w:t>
      </w:r>
    </w:p>
    <w:p w14:paraId="7E546C00" w14:textId="77777777" w:rsidR="00C200CB" w:rsidRDefault="00C200CB">
      <w:pPr>
        <w:contextualSpacing/>
      </w:pPr>
    </w:p>
    <w:p w14:paraId="7C38D768" w14:textId="76D4E551" w:rsidR="00C200CB" w:rsidRDefault="00C200CB">
      <w:pPr>
        <w:contextualSpacing/>
      </w:pPr>
      <w:r>
        <w:t>Une révision du plan directeur, datant de 2017</w:t>
      </w:r>
      <w:r w:rsidR="00C85057">
        <w:t>,</w:t>
      </w:r>
      <w:r>
        <w:t xml:space="preserve"> serait aussi à </w:t>
      </w:r>
      <w:r w:rsidR="00C85057">
        <w:t>effectuer</w:t>
      </w:r>
      <w:r>
        <w:t>.</w:t>
      </w:r>
    </w:p>
    <w:p w14:paraId="45B95399" w14:textId="77777777" w:rsidR="00C200CB" w:rsidRDefault="00C200CB">
      <w:pPr>
        <w:contextualSpacing/>
      </w:pPr>
    </w:p>
    <w:p w14:paraId="7436BDB0" w14:textId="1394B0E5" w:rsidR="002D2075" w:rsidRDefault="002D2075">
      <w:pPr>
        <w:contextualSpacing/>
      </w:pPr>
      <w:r>
        <w:t>Afin de réaliser ces objectif</w:t>
      </w:r>
      <w:r w:rsidR="00C85057">
        <w:t>s,</w:t>
      </w:r>
      <w:r>
        <w:t xml:space="preserve"> l’Association a besoin de bénévoles. Pour un bassin d’environ 300 membres (équivalant à plus de 600 personnes) on compte</w:t>
      </w:r>
      <w:r w:rsidR="00C85057">
        <w:t xml:space="preserve"> actuellement</w:t>
      </w:r>
      <w:r>
        <w:t xml:space="preserve"> une douzaine de personnes qui s’investissent dans la protection du lac, soit 2% des usagers.</w:t>
      </w:r>
    </w:p>
    <w:p w14:paraId="788025B9" w14:textId="77777777" w:rsidR="002D2075" w:rsidRDefault="002D2075">
      <w:pPr>
        <w:contextualSpacing/>
      </w:pPr>
    </w:p>
    <w:p w14:paraId="5D9696BF" w14:textId="6CB4A7F4" w:rsidR="00682558" w:rsidRDefault="002D2075">
      <w:pPr>
        <w:contextualSpacing/>
      </w:pPr>
      <w:r>
        <w:t>Dans un premier temps</w:t>
      </w:r>
      <w:r w:rsidR="00C85057">
        <w:t>,</w:t>
      </w:r>
      <w:r>
        <w:t xml:space="preserve"> il serait important que plus de membres participent à la réunion générale qui se tient au début de l’été</w:t>
      </w:r>
      <w:r w:rsidR="00682558">
        <w:t>. Par la suite la formation d’équipes de projets devrait suivre afin d’obtenir les données nécessaires à un suivi efficace de l’état de santé de notre lac.</w:t>
      </w:r>
    </w:p>
    <w:p w14:paraId="6DED1DA5" w14:textId="56E3007D" w:rsidR="002D2075" w:rsidRDefault="002D2075">
      <w:pPr>
        <w:contextualSpacing/>
      </w:pPr>
      <w:r>
        <w:t xml:space="preserve"> </w:t>
      </w:r>
    </w:p>
    <w:p w14:paraId="427E2D48" w14:textId="40614050" w:rsidR="00C200CB" w:rsidRDefault="002D2075">
      <w:pPr>
        <w:contextualSpacing/>
      </w:pPr>
      <w:r>
        <w:t xml:space="preserve">  </w:t>
      </w:r>
    </w:p>
    <w:p w14:paraId="10D81342" w14:textId="45D9D99E" w:rsidR="0005376C" w:rsidRDefault="0005376C">
      <w:pPr>
        <w:contextualSpacing/>
      </w:pPr>
    </w:p>
    <w:p w14:paraId="7629BAE9" w14:textId="77777777" w:rsidR="00440262" w:rsidRDefault="00440262">
      <w:pPr>
        <w:contextualSpacing/>
        <w:rPr>
          <w:b/>
        </w:rPr>
      </w:pPr>
    </w:p>
    <w:p w14:paraId="2BD89982" w14:textId="2DE64675" w:rsidR="0005376C" w:rsidRDefault="0005376C">
      <w:pPr>
        <w:contextualSpacing/>
        <w:rPr>
          <w:b/>
        </w:rPr>
      </w:pPr>
      <w:r>
        <w:rPr>
          <w:b/>
        </w:rPr>
        <w:t>Roger Tessier</w:t>
      </w:r>
    </w:p>
    <w:p w14:paraId="2F85D96F" w14:textId="77777777" w:rsidR="0005376C" w:rsidRDefault="0005376C">
      <w:pPr>
        <w:contextualSpacing/>
        <w:rPr>
          <w:b/>
        </w:rPr>
      </w:pPr>
      <w:r>
        <w:rPr>
          <w:b/>
        </w:rPr>
        <w:t>Consultant en environnement</w:t>
      </w:r>
    </w:p>
    <w:p w14:paraId="3CF33C8F" w14:textId="6128796F" w:rsidR="0005376C" w:rsidRDefault="006E37D7">
      <w:pPr>
        <w:contextualSpacing/>
        <w:rPr>
          <w:b/>
        </w:rPr>
      </w:pPr>
      <w:r>
        <w:rPr>
          <w:b/>
        </w:rPr>
        <w:t>Responsable</w:t>
      </w:r>
      <w:r w:rsidR="0005376C">
        <w:rPr>
          <w:b/>
        </w:rPr>
        <w:t xml:space="preserve"> environnement </w:t>
      </w:r>
      <w:r w:rsidR="00AE44ED">
        <w:rPr>
          <w:b/>
        </w:rPr>
        <w:t xml:space="preserve">et écologie </w:t>
      </w:r>
      <w:r w:rsidR="0005376C">
        <w:rPr>
          <w:b/>
        </w:rPr>
        <w:t>APLD 20</w:t>
      </w:r>
      <w:r w:rsidR="0057632F">
        <w:rPr>
          <w:b/>
        </w:rPr>
        <w:t>2</w:t>
      </w:r>
      <w:r w:rsidR="00406525">
        <w:rPr>
          <w:b/>
        </w:rPr>
        <w:t>2</w:t>
      </w:r>
      <w:r w:rsidR="0005376C">
        <w:rPr>
          <w:b/>
        </w:rPr>
        <w:t>-20</w:t>
      </w:r>
      <w:r w:rsidR="00A95AED">
        <w:rPr>
          <w:b/>
        </w:rPr>
        <w:t>2</w:t>
      </w:r>
      <w:r w:rsidR="00406525">
        <w:rPr>
          <w:b/>
        </w:rPr>
        <w:t>3</w:t>
      </w:r>
    </w:p>
    <w:p w14:paraId="5803E0AB" w14:textId="26C820A3" w:rsidR="0030546B" w:rsidRPr="0005376C" w:rsidRDefault="0030546B">
      <w:pPr>
        <w:contextualSpacing/>
        <w:rPr>
          <w:b/>
        </w:rPr>
      </w:pPr>
      <w:r>
        <w:rPr>
          <w:b/>
        </w:rPr>
        <w:t xml:space="preserve">21 </w:t>
      </w:r>
      <w:r w:rsidR="00C85057">
        <w:rPr>
          <w:b/>
        </w:rPr>
        <w:t>a</w:t>
      </w:r>
      <w:r>
        <w:rPr>
          <w:b/>
        </w:rPr>
        <w:t>vril 2024</w:t>
      </w:r>
    </w:p>
    <w:p w14:paraId="5A670D7E" w14:textId="77777777" w:rsidR="00D04F5A" w:rsidRDefault="00D04F5A">
      <w:pPr>
        <w:contextualSpacing/>
      </w:pPr>
    </w:p>
    <w:p w14:paraId="3E7D88EB" w14:textId="77777777" w:rsidR="00D04F5A" w:rsidRDefault="00D04F5A">
      <w:pPr>
        <w:contextualSpacing/>
      </w:pPr>
    </w:p>
    <w:p w14:paraId="70FA79A8" w14:textId="77777777" w:rsidR="00D04F5A" w:rsidRDefault="00D04F5A">
      <w:pPr>
        <w:contextualSpacing/>
      </w:pPr>
    </w:p>
    <w:p w14:paraId="541A1D83" w14:textId="77777777" w:rsidR="00D04F5A" w:rsidRDefault="00D04F5A">
      <w:pPr>
        <w:contextualSpacing/>
      </w:pPr>
    </w:p>
    <w:p w14:paraId="08EB119F" w14:textId="77777777" w:rsidR="00D04F5A" w:rsidRDefault="00D04F5A">
      <w:pPr>
        <w:contextualSpacing/>
      </w:pPr>
    </w:p>
    <w:p w14:paraId="3D0FAADF" w14:textId="77777777" w:rsidR="00D04F5A" w:rsidRDefault="00D04F5A">
      <w:pPr>
        <w:contextualSpacing/>
      </w:pPr>
    </w:p>
    <w:sectPr w:rsidR="00D04F5A" w:rsidSect="00A35335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EFAE" w14:textId="77777777" w:rsidR="00A35335" w:rsidRDefault="00A35335" w:rsidP="0005376C">
      <w:pPr>
        <w:spacing w:before="0" w:after="0"/>
      </w:pPr>
      <w:r>
        <w:separator/>
      </w:r>
    </w:p>
  </w:endnote>
  <w:endnote w:type="continuationSeparator" w:id="0">
    <w:p w14:paraId="5E60F650" w14:textId="77777777" w:rsidR="00A35335" w:rsidRDefault="00A35335" w:rsidP="000537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09126"/>
      <w:docPartObj>
        <w:docPartGallery w:val="Page Numbers (Bottom of Page)"/>
        <w:docPartUnique/>
      </w:docPartObj>
    </w:sdtPr>
    <w:sdtContent>
      <w:p w14:paraId="54260750" w14:textId="77777777" w:rsidR="0005376C" w:rsidRDefault="0005376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36054" w14:textId="77777777" w:rsidR="0005376C" w:rsidRDefault="000537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CB20" w14:textId="77777777" w:rsidR="00A35335" w:rsidRDefault="00A35335" w:rsidP="0005376C">
      <w:pPr>
        <w:spacing w:before="0" w:after="0"/>
      </w:pPr>
      <w:r>
        <w:separator/>
      </w:r>
    </w:p>
  </w:footnote>
  <w:footnote w:type="continuationSeparator" w:id="0">
    <w:p w14:paraId="77117747" w14:textId="77777777" w:rsidR="00A35335" w:rsidRDefault="00A35335" w:rsidP="000537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05294"/>
    <w:multiLevelType w:val="hybridMultilevel"/>
    <w:tmpl w:val="48E013AE"/>
    <w:lvl w:ilvl="0" w:tplc="2F006F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42817"/>
    <w:multiLevelType w:val="hybridMultilevel"/>
    <w:tmpl w:val="75CA2290"/>
    <w:lvl w:ilvl="0" w:tplc="EBE69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95386">
    <w:abstractNumId w:val="0"/>
  </w:num>
  <w:num w:numId="2" w16cid:durableId="45772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F2"/>
    <w:rsid w:val="00006D6B"/>
    <w:rsid w:val="00024A63"/>
    <w:rsid w:val="00051F4B"/>
    <w:rsid w:val="0005376C"/>
    <w:rsid w:val="00082A49"/>
    <w:rsid w:val="00082B7A"/>
    <w:rsid w:val="000A21A4"/>
    <w:rsid w:val="000B16FA"/>
    <w:rsid w:val="000D0B3F"/>
    <w:rsid w:val="000E65E0"/>
    <w:rsid w:val="000F7D21"/>
    <w:rsid w:val="00110597"/>
    <w:rsid w:val="0011255B"/>
    <w:rsid w:val="00125DD4"/>
    <w:rsid w:val="0017435A"/>
    <w:rsid w:val="001A0141"/>
    <w:rsid w:val="001A3DDA"/>
    <w:rsid w:val="001A600A"/>
    <w:rsid w:val="001C1EFB"/>
    <w:rsid w:val="001C2FC8"/>
    <w:rsid w:val="001C4EB4"/>
    <w:rsid w:val="001D0F53"/>
    <w:rsid w:val="001D4C74"/>
    <w:rsid w:val="001F097F"/>
    <w:rsid w:val="0020034F"/>
    <w:rsid w:val="0022581C"/>
    <w:rsid w:val="002316AC"/>
    <w:rsid w:val="00231EA3"/>
    <w:rsid w:val="00241BF2"/>
    <w:rsid w:val="002644B6"/>
    <w:rsid w:val="002644BE"/>
    <w:rsid w:val="002709E9"/>
    <w:rsid w:val="00285D1D"/>
    <w:rsid w:val="002A5578"/>
    <w:rsid w:val="002B7074"/>
    <w:rsid w:val="002C1120"/>
    <w:rsid w:val="002C1E9A"/>
    <w:rsid w:val="002D2075"/>
    <w:rsid w:val="002D660E"/>
    <w:rsid w:val="002E5D2A"/>
    <w:rsid w:val="00301AA0"/>
    <w:rsid w:val="00303489"/>
    <w:rsid w:val="0030546B"/>
    <w:rsid w:val="00316244"/>
    <w:rsid w:val="0037506D"/>
    <w:rsid w:val="003B0016"/>
    <w:rsid w:val="003D5E15"/>
    <w:rsid w:val="00406525"/>
    <w:rsid w:val="0041337C"/>
    <w:rsid w:val="00440262"/>
    <w:rsid w:val="0047018F"/>
    <w:rsid w:val="00476660"/>
    <w:rsid w:val="00480777"/>
    <w:rsid w:val="00490100"/>
    <w:rsid w:val="00493224"/>
    <w:rsid w:val="004E03FF"/>
    <w:rsid w:val="005137F1"/>
    <w:rsid w:val="00513A56"/>
    <w:rsid w:val="00531CEB"/>
    <w:rsid w:val="00573EAA"/>
    <w:rsid w:val="0057632F"/>
    <w:rsid w:val="005C51F2"/>
    <w:rsid w:val="00600B7F"/>
    <w:rsid w:val="00620AC6"/>
    <w:rsid w:val="00626E6B"/>
    <w:rsid w:val="00635B11"/>
    <w:rsid w:val="006409B2"/>
    <w:rsid w:val="00674BB4"/>
    <w:rsid w:val="00682558"/>
    <w:rsid w:val="006C54DD"/>
    <w:rsid w:val="006D7FC2"/>
    <w:rsid w:val="006E37D7"/>
    <w:rsid w:val="006F3CE2"/>
    <w:rsid w:val="00702398"/>
    <w:rsid w:val="00703792"/>
    <w:rsid w:val="00706387"/>
    <w:rsid w:val="0071432E"/>
    <w:rsid w:val="00734583"/>
    <w:rsid w:val="00745A0F"/>
    <w:rsid w:val="00754C64"/>
    <w:rsid w:val="007804C8"/>
    <w:rsid w:val="007A4E06"/>
    <w:rsid w:val="007B08BB"/>
    <w:rsid w:val="007C13EB"/>
    <w:rsid w:val="007C5369"/>
    <w:rsid w:val="007F624F"/>
    <w:rsid w:val="00810DCC"/>
    <w:rsid w:val="00812E75"/>
    <w:rsid w:val="00820B83"/>
    <w:rsid w:val="00876D5D"/>
    <w:rsid w:val="0088180A"/>
    <w:rsid w:val="008C4C98"/>
    <w:rsid w:val="008F5229"/>
    <w:rsid w:val="0094696D"/>
    <w:rsid w:val="00975CEF"/>
    <w:rsid w:val="009D35E7"/>
    <w:rsid w:val="009D5165"/>
    <w:rsid w:val="009E2AFA"/>
    <w:rsid w:val="00A101CE"/>
    <w:rsid w:val="00A118E6"/>
    <w:rsid w:val="00A35335"/>
    <w:rsid w:val="00A932F2"/>
    <w:rsid w:val="00A9547A"/>
    <w:rsid w:val="00A95AED"/>
    <w:rsid w:val="00A966B0"/>
    <w:rsid w:val="00AB0561"/>
    <w:rsid w:val="00AB1769"/>
    <w:rsid w:val="00AB2649"/>
    <w:rsid w:val="00AB67D7"/>
    <w:rsid w:val="00AE32AC"/>
    <w:rsid w:val="00AE39B4"/>
    <w:rsid w:val="00AE44ED"/>
    <w:rsid w:val="00B10083"/>
    <w:rsid w:val="00B21DA0"/>
    <w:rsid w:val="00B349E0"/>
    <w:rsid w:val="00B467C3"/>
    <w:rsid w:val="00B55BE9"/>
    <w:rsid w:val="00B57ECD"/>
    <w:rsid w:val="00B61198"/>
    <w:rsid w:val="00B6721A"/>
    <w:rsid w:val="00B930DC"/>
    <w:rsid w:val="00BD61FE"/>
    <w:rsid w:val="00C00941"/>
    <w:rsid w:val="00C200CB"/>
    <w:rsid w:val="00C34088"/>
    <w:rsid w:val="00C644C4"/>
    <w:rsid w:val="00C85057"/>
    <w:rsid w:val="00C90DE0"/>
    <w:rsid w:val="00CE4CDB"/>
    <w:rsid w:val="00CF5323"/>
    <w:rsid w:val="00CF78D4"/>
    <w:rsid w:val="00D04F5A"/>
    <w:rsid w:val="00D14289"/>
    <w:rsid w:val="00D2420E"/>
    <w:rsid w:val="00D24FCB"/>
    <w:rsid w:val="00D335CD"/>
    <w:rsid w:val="00D77A5D"/>
    <w:rsid w:val="00D831A4"/>
    <w:rsid w:val="00D978B5"/>
    <w:rsid w:val="00DA34AF"/>
    <w:rsid w:val="00DF234B"/>
    <w:rsid w:val="00E02941"/>
    <w:rsid w:val="00E1509C"/>
    <w:rsid w:val="00E21A57"/>
    <w:rsid w:val="00E36616"/>
    <w:rsid w:val="00E81BAD"/>
    <w:rsid w:val="00E829CA"/>
    <w:rsid w:val="00E87B20"/>
    <w:rsid w:val="00EC7883"/>
    <w:rsid w:val="00EF4A03"/>
    <w:rsid w:val="00F33B54"/>
    <w:rsid w:val="00F84275"/>
    <w:rsid w:val="00F86620"/>
    <w:rsid w:val="00F92739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8E01"/>
  <w15:docId w15:val="{FA022DAE-29B6-41C3-A5D5-3A32DFC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before="240" w:after="100" w:afterAutospacing="1"/>
        <w:ind w:right="4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2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5D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D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6D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376C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05376C"/>
  </w:style>
  <w:style w:type="paragraph" w:styleId="Pieddepage">
    <w:name w:val="footer"/>
    <w:basedOn w:val="Normal"/>
    <w:link w:val="PieddepageCar"/>
    <w:uiPriority w:val="99"/>
    <w:unhideWhenUsed/>
    <w:rsid w:val="0005376C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5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28D8-DBE6-4B24-9A3B-5E24F4CA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Esther Larose</cp:lastModifiedBy>
  <cp:revision>5</cp:revision>
  <cp:lastPrinted>2021-03-07T22:35:00Z</cp:lastPrinted>
  <dcterms:created xsi:type="dcterms:W3CDTF">2024-05-08T16:20:00Z</dcterms:created>
  <dcterms:modified xsi:type="dcterms:W3CDTF">2024-05-08T16:47:00Z</dcterms:modified>
</cp:coreProperties>
</file>